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58BC1204" w14:textId="5377062D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1DFA791B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177E8C" w:rsidRPr="00177E8C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124D35DF" w14:textId="53E2AB2C" w:rsidR="00831A8D" w:rsidRPr="00204BA5" w:rsidRDefault="00204BA5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204BA5">
        <w:rPr>
          <w:rFonts w:ascii="Verdana" w:hAnsi="Verdana" w:cstheme="minorHAnsi"/>
          <w:b/>
          <w:sz w:val="18"/>
          <w:szCs w:val="18"/>
        </w:rPr>
        <w:t>Korespondenční a</w:t>
      </w:r>
      <w:r w:rsidR="00831A8D" w:rsidRPr="00204BA5">
        <w:rPr>
          <w:rFonts w:ascii="Verdana" w:hAnsi="Verdana" w:cstheme="minorHAnsi"/>
          <w:b/>
          <w:sz w:val="18"/>
          <w:szCs w:val="18"/>
        </w:rPr>
        <w:t>dr</w:t>
      </w:r>
      <w:r w:rsidRPr="00204BA5">
        <w:rPr>
          <w:rFonts w:ascii="Verdana" w:hAnsi="Verdana" w:cstheme="minorHAnsi"/>
          <w:b/>
          <w:sz w:val="18"/>
          <w:szCs w:val="18"/>
        </w:rPr>
        <w:t>esa pro doručování písemností:</w:t>
      </w:r>
    </w:p>
    <w:p w14:paraId="6B6662AB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51E43394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3718731F" w14:textId="3A9B9F8A" w:rsidR="00831A8D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Partyzánská 24, 170 00 Praha 7</w:t>
      </w:r>
    </w:p>
    <w:p w14:paraId="40052E33" w14:textId="154DD186" w:rsidR="00831A8D" w:rsidRPr="00204BA5" w:rsidRDefault="00204BA5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204BA5">
        <w:rPr>
          <w:rFonts w:ascii="Verdana" w:hAnsi="Verdana" w:cstheme="minorHAnsi"/>
          <w:b/>
          <w:sz w:val="18"/>
          <w:szCs w:val="18"/>
        </w:rPr>
        <w:t>Fakturační adresa pro doručování písemností:</w:t>
      </w:r>
    </w:p>
    <w:p w14:paraId="724B1AE6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4653D3CE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Centrální finanční účtárna Čechy</w:t>
      </w:r>
    </w:p>
    <w:p w14:paraId="18F14F32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 xml:space="preserve">Náměstí Jana </w:t>
      </w:r>
      <w:proofErr w:type="spellStart"/>
      <w:r w:rsidRPr="00204BA5">
        <w:rPr>
          <w:rFonts w:ascii="Verdana" w:hAnsi="Verdana" w:cstheme="minorHAnsi"/>
          <w:sz w:val="18"/>
          <w:szCs w:val="18"/>
        </w:rPr>
        <w:t>Pernera</w:t>
      </w:r>
      <w:proofErr w:type="spellEnd"/>
      <w:r w:rsidRPr="00204BA5">
        <w:rPr>
          <w:rFonts w:ascii="Verdana" w:hAnsi="Verdana" w:cstheme="minorHAnsi"/>
          <w:sz w:val="18"/>
          <w:szCs w:val="18"/>
        </w:rPr>
        <w:t xml:space="preserve"> 217</w:t>
      </w:r>
    </w:p>
    <w:p w14:paraId="1D8B64C3" w14:textId="1044E423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530 02 Pardubice</w:t>
      </w:r>
    </w:p>
    <w:p w14:paraId="07A55573" w14:textId="1AF99F08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 xml:space="preserve">Nebo ve formátu PDF e-mailem </w:t>
      </w:r>
      <w:proofErr w:type="gramStart"/>
      <w:r w:rsidRPr="00204BA5">
        <w:rPr>
          <w:rFonts w:ascii="Verdana" w:hAnsi="Verdana" w:cstheme="minorHAnsi"/>
          <w:sz w:val="18"/>
          <w:szCs w:val="18"/>
        </w:rPr>
        <w:t>na</w:t>
      </w:r>
      <w:proofErr w:type="gramEnd"/>
      <w:r w:rsidRPr="00204BA5">
        <w:rPr>
          <w:rFonts w:ascii="Verdana" w:hAnsi="Verdana" w:cstheme="minorHAnsi"/>
          <w:sz w:val="18"/>
          <w:szCs w:val="18"/>
        </w:rPr>
        <w:t xml:space="preserve">: </w:t>
      </w:r>
      <w:hyperlink r:id="rId11" w:history="1">
        <w:r w:rsidRPr="00204BA5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  <w:r w:rsidRPr="00204BA5">
        <w:rPr>
          <w:rFonts w:ascii="Verdana" w:hAnsi="Verdana" w:cstheme="minorHAnsi"/>
          <w:sz w:val="18"/>
          <w:szCs w:val="18"/>
        </w:rPr>
        <w:t xml:space="preserve"> </w:t>
      </w:r>
    </w:p>
    <w:p w14:paraId="6CCBD0A0" w14:textId="77777777" w:rsidR="00204BA5" w:rsidRPr="00204BA5" w:rsidRDefault="00204BA5" w:rsidP="00204BA5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17F6A521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77E8C">
        <w:rPr>
          <w:rFonts w:ascii="Verdana" w:hAnsi="Verdana" w:cstheme="minorHAnsi"/>
          <w:sz w:val="18"/>
          <w:szCs w:val="18"/>
        </w:rPr>
        <w:t xml:space="preserve">dohody </w:t>
      </w:r>
      <w:r w:rsidR="00177E8C" w:rsidRPr="00177E8C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177E8C">
        <w:rPr>
          <w:rFonts w:ascii="Verdana" w:hAnsi="Verdana" w:cstheme="minorHAnsi"/>
          <w:sz w:val="18"/>
          <w:szCs w:val="18"/>
        </w:rPr>
        <w:t xml:space="preserve">podlimitní </w:t>
      </w:r>
      <w:r w:rsidRPr="00177E8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177E8C">
        <w:rPr>
          <w:rFonts w:ascii="Verdana" w:hAnsi="Verdana" w:cstheme="minorHAnsi"/>
          <w:sz w:val="18"/>
          <w:szCs w:val="18"/>
        </w:rPr>
        <w:t>ce</w:t>
      </w:r>
      <w:r w:rsidRPr="00177E8C">
        <w:rPr>
          <w:rFonts w:ascii="Verdana" w:hAnsi="Verdana" w:cstheme="minorHAnsi"/>
          <w:sz w:val="18"/>
          <w:szCs w:val="18"/>
        </w:rPr>
        <w:t xml:space="preserve"> s názvem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77E8C" w:rsidRPr="00177E8C">
        <w:rPr>
          <w:rFonts w:ascii="Verdana" w:hAnsi="Verdana" w:cstheme="minorHAnsi"/>
          <w:b/>
          <w:sz w:val="18"/>
          <w:szCs w:val="18"/>
        </w:rPr>
        <w:t>„Opravy a údržba skalních zářezů u ST 2021 – 2022“</w:t>
      </w:r>
      <w:r w:rsidRPr="00177E8C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4E1A9C" w:rsidRPr="004E1A9C">
        <w:rPr>
          <w:rFonts w:ascii="Verdana" w:hAnsi="Verdana" w:cstheme="minorHAnsi"/>
          <w:sz w:val="18"/>
          <w:szCs w:val="18"/>
        </w:rPr>
        <w:t>40589/2020-SŽ-OŘ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21929176" w:rsidR="00EA1D44" w:rsidRPr="00061719" w:rsidRDefault="00161E4D" w:rsidP="00B7773F">
      <w:pPr>
        <w:pStyle w:val="Odstavecseseznamem"/>
        <w:numPr>
          <w:ilvl w:val="1"/>
          <w:numId w:val="1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B7773F" w:rsidRPr="00B7773F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„Opravy a údržba skalních zářezů u ST 2021 - 2022“ a přílohách této rámcové dohody.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, případě dokumentací pro provedení stavby, a dále Soupisem stavebních prací, dodávek a služeb </w:t>
      </w:r>
      <w:r w:rsidR="00784477" w:rsidRPr="00827C5C">
        <w:rPr>
          <w:rFonts w:ascii="Verdana" w:hAnsi="Verdana" w:cstheme="minorHAnsi"/>
          <w:sz w:val="18"/>
          <w:szCs w:val="18"/>
        </w:rPr>
        <w:t>s výkazem výměr</w:t>
      </w:r>
      <w:r w:rsidR="00102827" w:rsidRPr="00827C5C">
        <w:rPr>
          <w:rFonts w:ascii="Verdana" w:hAnsi="Verdana" w:cstheme="minorHAnsi"/>
          <w:sz w:val="18"/>
          <w:szCs w:val="18"/>
        </w:rPr>
        <w:t>.</w:t>
      </w:r>
      <w:r w:rsidR="00784477" w:rsidRPr="00827C5C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827C5C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827C5C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827C5C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827C5C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827C5C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827C5C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827C5C">
        <w:rPr>
          <w:rFonts w:ascii="Verdana" w:hAnsi="Verdana" w:cstheme="minorHAnsi"/>
          <w:sz w:val="18"/>
          <w:szCs w:val="18"/>
        </w:rPr>
        <w:t>2</w:t>
      </w:r>
      <w:r w:rsidR="00784477" w:rsidRPr="00827C5C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827C5C">
        <w:rPr>
          <w:rFonts w:ascii="Verdana" w:hAnsi="Verdana" w:cstheme="minorHAnsi"/>
          <w:sz w:val="18"/>
          <w:szCs w:val="18"/>
        </w:rPr>
        <w:t>Rámcové</w:t>
      </w:r>
      <w:r w:rsidR="00292986" w:rsidRPr="00827C5C">
        <w:rPr>
          <w:rFonts w:ascii="Verdana" w:hAnsi="Verdana" w:cstheme="minorHAnsi"/>
          <w:sz w:val="18"/>
          <w:szCs w:val="18"/>
        </w:rPr>
        <w:t xml:space="preserve"> </w:t>
      </w:r>
      <w:r w:rsidR="00784477" w:rsidRPr="00827C5C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13054121" w:rsidR="00C55703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B1744A" w:rsidRPr="0008562D">
          <w:rPr>
            <w:rStyle w:val="Hypertextovodkaz"/>
            <w:rFonts w:ascii="Verdana" w:hAnsi="Verdana"/>
            <w:sz w:val="18"/>
            <w:szCs w:val="18"/>
          </w:rPr>
          <w:t>Dedek@spravazeleznic.cz</w:t>
        </w:r>
      </w:hyperlink>
    </w:p>
    <w:p w14:paraId="64DB254E" w14:textId="77CF4EF0" w:rsidR="00B1744A" w:rsidRDefault="00B1744A" w:rsidP="009A48A1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3" w:history="1">
        <w:r w:rsidRPr="0008562D">
          <w:rPr>
            <w:rStyle w:val="Hypertextovodkaz"/>
            <w:rFonts w:ascii="Verdana" w:hAnsi="Verdana"/>
            <w:sz w:val="18"/>
            <w:szCs w:val="18"/>
          </w:rPr>
          <w:t>Skokanek@spravazeleznic.cz</w:t>
        </w:r>
      </w:hyperlink>
    </w:p>
    <w:p w14:paraId="11BAB66F" w14:textId="40E16504" w:rsidR="00B1744A" w:rsidRDefault="00B1744A" w:rsidP="00B1744A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4" w:history="1">
        <w:r w:rsidRPr="0008562D">
          <w:rPr>
            <w:rStyle w:val="Hypertextovodkaz"/>
            <w:rFonts w:ascii="Verdana" w:hAnsi="Verdana"/>
            <w:sz w:val="18"/>
            <w:szCs w:val="18"/>
          </w:rPr>
          <w:t>Marusak@spravazeleznic.cz</w:t>
        </w:r>
      </w:hyperlink>
    </w:p>
    <w:p w14:paraId="6DFDC724" w14:textId="2C1B540A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6B73B1FB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</w:t>
      </w:r>
      <w:r w:rsidR="00B1744A">
        <w:rPr>
          <w:rFonts w:ascii="Verdana" w:hAnsi="Verdana" w:cstheme="minorHAnsi"/>
          <w:sz w:val="18"/>
          <w:szCs w:val="18"/>
        </w:rPr>
        <w:t> souladu s přílo</w:t>
      </w:r>
      <w:r w:rsidR="00693614">
        <w:rPr>
          <w:rFonts w:ascii="Verdana" w:hAnsi="Verdana" w:cstheme="minorHAnsi"/>
          <w:sz w:val="18"/>
          <w:szCs w:val="18"/>
        </w:rPr>
        <w:t xml:space="preserve">hami č. 2 a č. 3 této rámcové </w:t>
      </w:r>
      <w:r w:rsidR="00B1744A">
        <w:rPr>
          <w:rFonts w:ascii="Verdana" w:hAnsi="Verdana" w:cstheme="minorHAnsi"/>
          <w:sz w:val="18"/>
          <w:szCs w:val="18"/>
        </w:rPr>
        <w:t>doh</w:t>
      </w:r>
      <w:r w:rsidR="00693614">
        <w:rPr>
          <w:rFonts w:ascii="Verdana" w:hAnsi="Verdana" w:cstheme="minorHAnsi"/>
          <w:sz w:val="18"/>
          <w:szCs w:val="18"/>
        </w:rPr>
        <w:t>od</w:t>
      </w:r>
      <w:r w:rsidR="00B1744A">
        <w:rPr>
          <w:rFonts w:ascii="Verdana" w:hAnsi="Verdana" w:cstheme="minorHAnsi"/>
          <w:sz w:val="18"/>
          <w:szCs w:val="18"/>
        </w:rPr>
        <w:t>y</w:t>
      </w:r>
      <w:r>
        <w:rPr>
          <w:rFonts w:ascii="Verdana" w:hAnsi="Verdana" w:cstheme="minorHAnsi"/>
          <w:sz w:val="18"/>
          <w:szCs w:val="18"/>
        </w:rPr>
        <w:t>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10F430BA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="00B1744A">
        <w:rPr>
          <w:rFonts w:ascii="Verdana" w:hAnsi="Verdana"/>
          <w:sz w:val="18"/>
          <w:szCs w:val="18"/>
        </w:rPr>
        <w:t xml:space="preserve"> nejpozději do 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5C0546E" w14:textId="77777777" w:rsidR="00CC5257" w:rsidRPr="00A611CE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611CE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7452EE17" w:rsidR="003276C2" w:rsidRPr="00A611CE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A611CE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A611CE">
        <w:rPr>
          <w:rFonts w:ascii="Verdana" w:eastAsiaTheme="majorEastAsia" w:hAnsi="Verdana"/>
          <w:bCs/>
          <w:sz w:val="18"/>
          <w:szCs w:val="18"/>
        </w:rPr>
        <w:t>Rámcová</w:t>
      </w:r>
      <w:r w:rsidRPr="00A611CE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A611CE" w:rsidRPr="00A611CE">
        <w:rPr>
          <w:rFonts w:ascii="Verdana" w:eastAsiaTheme="majorEastAsia" w:hAnsi="Verdana"/>
          <w:bCs/>
          <w:sz w:val="18"/>
          <w:szCs w:val="18"/>
        </w:rPr>
        <w:t>dobu od 01. 01. 2021 do 31. 12. 2022.</w:t>
      </w:r>
    </w:p>
    <w:p w14:paraId="01B144C0" w14:textId="74DCAD41" w:rsidR="00F95433" w:rsidRPr="00A611CE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A611CE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A611CE">
        <w:rPr>
          <w:rFonts w:ascii="Verdana" w:hAnsi="Verdana"/>
          <w:sz w:val="18"/>
          <w:szCs w:val="18"/>
        </w:rPr>
        <w:t>podčl</w:t>
      </w:r>
      <w:proofErr w:type="spellEnd"/>
      <w:r w:rsidRPr="00A611CE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A611CE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A611CE">
        <w:rPr>
          <w:rFonts w:ascii="Verdana" w:hAnsi="Verdana"/>
          <w:sz w:val="18"/>
          <w:szCs w:val="18"/>
        </w:rPr>
        <w:t xml:space="preserve">Zhotovitel je </w:t>
      </w:r>
      <w:r w:rsidR="007E084F" w:rsidRPr="00A611CE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A611CE">
        <w:rPr>
          <w:rFonts w:ascii="Verdana" w:hAnsi="Verdana"/>
          <w:sz w:val="18"/>
          <w:szCs w:val="18"/>
        </w:rPr>
        <w:t xml:space="preserve">před </w:t>
      </w:r>
      <w:r w:rsidR="00040F54" w:rsidRPr="00A611CE">
        <w:rPr>
          <w:rFonts w:ascii="Verdana" w:hAnsi="Verdana"/>
          <w:sz w:val="18"/>
          <w:szCs w:val="18"/>
        </w:rPr>
        <w:t xml:space="preserve">Dnem </w:t>
      </w:r>
      <w:r w:rsidR="00292986" w:rsidRPr="00A611CE">
        <w:rPr>
          <w:rFonts w:ascii="Verdana" w:hAnsi="Verdana"/>
          <w:sz w:val="18"/>
          <w:szCs w:val="18"/>
        </w:rPr>
        <w:t xml:space="preserve">zahájení </w:t>
      </w:r>
      <w:r w:rsidR="00040F54" w:rsidRPr="00A611CE">
        <w:rPr>
          <w:rFonts w:ascii="Verdana" w:hAnsi="Verdana"/>
          <w:sz w:val="18"/>
          <w:szCs w:val="18"/>
        </w:rPr>
        <w:t xml:space="preserve">stavebních </w:t>
      </w:r>
      <w:r w:rsidR="00292986" w:rsidRPr="00A611CE">
        <w:rPr>
          <w:rFonts w:ascii="Verdana" w:hAnsi="Verdana"/>
          <w:sz w:val="18"/>
          <w:szCs w:val="18"/>
        </w:rPr>
        <w:t xml:space="preserve">prací </w:t>
      </w:r>
      <w:r w:rsidRPr="00A611CE">
        <w:rPr>
          <w:rFonts w:ascii="Verdana" w:hAnsi="Verdana"/>
          <w:sz w:val="18"/>
          <w:szCs w:val="18"/>
        </w:rPr>
        <w:t xml:space="preserve">povinen zpracovat </w:t>
      </w:r>
      <w:r w:rsidR="00292986" w:rsidRPr="00A611CE">
        <w:rPr>
          <w:rFonts w:ascii="Verdana" w:hAnsi="Verdana"/>
          <w:sz w:val="18"/>
          <w:szCs w:val="18"/>
        </w:rPr>
        <w:t xml:space="preserve">a předložit </w:t>
      </w:r>
      <w:r w:rsidR="00321570" w:rsidRPr="00A611CE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A611CE">
        <w:rPr>
          <w:rFonts w:ascii="Verdana" w:hAnsi="Verdana"/>
          <w:sz w:val="18"/>
          <w:szCs w:val="18"/>
        </w:rPr>
        <w:t>(</w:t>
      </w:r>
      <w:r w:rsidR="00321570" w:rsidRPr="00A611CE">
        <w:rPr>
          <w:rFonts w:ascii="Verdana" w:hAnsi="Verdana"/>
          <w:sz w:val="18"/>
          <w:szCs w:val="18"/>
        </w:rPr>
        <w:t>TDS</w:t>
      </w:r>
      <w:r w:rsidR="00F95433" w:rsidRPr="00A611CE">
        <w:rPr>
          <w:rFonts w:ascii="Verdana" w:hAnsi="Verdana"/>
          <w:sz w:val="18"/>
          <w:szCs w:val="18"/>
        </w:rPr>
        <w:t>)</w:t>
      </w:r>
      <w:r w:rsidR="00292986" w:rsidRPr="00A611CE">
        <w:rPr>
          <w:rFonts w:ascii="Verdana" w:hAnsi="Verdana"/>
          <w:sz w:val="18"/>
          <w:szCs w:val="18"/>
        </w:rPr>
        <w:t xml:space="preserve"> </w:t>
      </w:r>
      <w:r w:rsidR="00F95433" w:rsidRPr="00A611CE">
        <w:rPr>
          <w:rFonts w:ascii="Verdana" w:hAnsi="Verdana"/>
          <w:sz w:val="18"/>
          <w:szCs w:val="18"/>
        </w:rPr>
        <w:t>Podrobný h</w:t>
      </w:r>
      <w:r w:rsidRPr="00A611CE">
        <w:rPr>
          <w:rFonts w:ascii="Verdana" w:hAnsi="Verdana"/>
          <w:sz w:val="18"/>
          <w:szCs w:val="18"/>
        </w:rPr>
        <w:t>armonogram</w:t>
      </w:r>
      <w:r w:rsidR="00F95433" w:rsidRPr="00A611CE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A611CE">
        <w:rPr>
          <w:rFonts w:ascii="Verdana" w:hAnsi="Verdana"/>
          <w:sz w:val="18"/>
          <w:szCs w:val="18"/>
        </w:rPr>
        <w:t>podčl</w:t>
      </w:r>
      <w:proofErr w:type="spellEnd"/>
      <w:r w:rsidR="00F95433" w:rsidRPr="00A611CE">
        <w:rPr>
          <w:rFonts w:ascii="Verdana" w:hAnsi="Verdana"/>
          <w:sz w:val="18"/>
          <w:szCs w:val="18"/>
        </w:rPr>
        <w:t>. 3.6 Obchodních podmínek.</w:t>
      </w:r>
    </w:p>
    <w:p w14:paraId="5444F64D" w14:textId="27C96412" w:rsidR="00BD7195" w:rsidRPr="00D25D9D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</w:t>
      </w:r>
      <w:r w:rsidR="00780CF7" w:rsidRPr="00A611CE">
        <w:rPr>
          <w:rFonts w:ascii="Verdana" w:hAnsi="Verdana"/>
          <w:sz w:val="18"/>
          <w:szCs w:val="18"/>
        </w:rPr>
        <w:t xml:space="preserve">čase </w:t>
      </w:r>
      <w:r w:rsidR="00A611CE" w:rsidRPr="00A611CE">
        <w:rPr>
          <w:rFonts w:ascii="Verdana" w:hAnsi="Verdana"/>
          <w:sz w:val="18"/>
          <w:szCs w:val="18"/>
        </w:rPr>
        <w:t>7:00 – 15:00</w:t>
      </w:r>
      <w:r w:rsidR="00780CF7" w:rsidRPr="00A611CE">
        <w:rPr>
          <w:rFonts w:ascii="Verdana" w:hAnsi="Verdana"/>
          <w:sz w:val="18"/>
          <w:szCs w:val="18"/>
        </w:rPr>
        <w:t xml:space="preserve"> hod.). </w:t>
      </w:r>
      <w:r w:rsidR="00DD2D34" w:rsidRPr="00A611CE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</w:t>
      </w:r>
      <w:r w:rsidR="00CC5257" w:rsidRPr="00D25D9D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D25D9D">
        <w:rPr>
          <w:rFonts w:ascii="Verdana" w:hAnsi="Verdana"/>
          <w:sz w:val="18"/>
          <w:szCs w:val="18"/>
        </w:rPr>
        <w:t>předaného plnění</w:t>
      </w:r>
      <w:r w:rsidR="00CC5257" w:rsidRPr="00D25D9D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D25D9D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D25D9D">
        <w:rPr>
          <w:rFonts w:ascii="Verdana" w:hAnsi="Verdana"/>
          <w:sz w:val="18"/>
          <w:szCs w:val="18"/>
        </w:rPr>
        <w:lastRenderedPageBreak/>
        <w:t xml:space="preserve">Před zahájením prací na realizací dílčí smlouvy si oprávněný zástupce Objednatele a Zhotovitele prokazatelně vymění se </w:t>
      </w:r>
      <w:r w:rsidR="00321570" w:rsidRPr="00D25D9D">
        <w:rPr>
          <w:rFonts w:ascii="Verdana" w:hAnsi="Verdana"/>
          <w:sz w:val="18"/>
          <w:szCs w:val="18"/>
        </w:rPr>
        <w:t>Z</w:t>
      </w:r>
      <w:r w:rsidRPr="00D25D9D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D25D9D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D25D9D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D25D9D">
        <w:rPr>
          <w:rFonts w:ascii="Verdana" w:hAnsi="Verdana"/>
          <w:sz w:val="18"/>
          <w:szCs w:val="18"/>
        </w:rPr>
        <w:t>,</w:t>
      </w:r>
      <w:r w:rsidRPr="00D25D9D">
        <w:rPr>
          <w:rFonts w:ascii="Verdana" w:hAnsi="Verdana"/>
          <w:sz w:val="18"/>
          <w:szCs w:val="18"/>
        </w:rPr>
        <w:t xml:space="preserve"> nedělí</w:t>
      </w:r>
      <w:r w:rsidR="002D1F24" w:rsidRPr="00D25D9D">
        <w:rPr>
          <w:rFonts w:ascii="Verdana" w:hAnsi="Verdana"/>
          <w:sz w:val="18"/>
          <w:szCs w:val="18"/>
        </w:rPr>
        <w:t xml:space="preserve"> a dnů pracovního klidu</w:t>
      </w:r>
      <w:r w:rsidRPr="00D25D9D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0068D50A" w:rsidR="00752AF3" w:rsidRDefault="00224684" w:rsidP="00D25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</w:t>
      </w:r>
      <w:r w:rsidR="00D25D9D" w:rsidRPr="00D25D9D">
        <w:rPr>
          <w:rFonts w:ascii="Verdana" w:hAnsi="Verdana" w:cstheme="minorHAnsi"/>
          <w:sz w:val="18"/>
          <w:szCs w:val="18"/>
        </w:rPr>
        <w:t xml:space="preserve">v dílčí smlouvě sjednána jako přijatá Cena Díla, která představuje odhadovanou cenu za provedení Díla určenou na základě nabídkového indexu uvedeného v příloze č. 2 </w:t>
      </w:r>
      <w:proofErr w:type="gramStart"/>
      <w:r w:rsidR="00D25D9D" w:rsidRPr="00D25D9D">
        <w:rPr>
          <w:rFonts w:ascii="Verdana" w:hAnsi="Verdana" w:cstheme="minorHAnsi"/>
          <w:sz w:val="18"/>
          <w:szCs w:val="18"/>
        </w:rPr>
        <w:t>této</w:t>
      </w:r>
      <w:proofErr w:type="gramEnd"/>
      <w:r w:rsidR="00D25D9D" w:rsidRPr="00D25D9D">
        <w:rPr>
          <w:rFonts w:ascii="Verdana" w:hAnsi="Verdana" w:cstheme="minorHAnsi"/>
          <w:sz w:val="18"/>
          <w:szCs w:val="18"/>
        </w:rPr>
        <w:t xml:space="preserve"> dohody. Cena dílčího plnění je stanovena na základě sborníku směrných cen URS znásobených nabídkovým indexem. Cenová úroveň je vždy k 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6214481B" w:rsidR="00C54045" w:rsidRDefault="00752AF3" w:rsidP="00D25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Přijatá Cena Díla bude v průběhu provádění </w:t>
      </w:r>
      <w:r w:rsidR="00D25D9D" w:rsidRPr="00D25D9D">
        <w:rPr>
          <w:rFonts w:ascii="Verdana" w:hAnsi="Verdana" w:cstheme="minorHAnsi"/>
          <w:sz w:val="18"/>
          <w:szCs w:val="18"/>
        </w:rPr>
        <w:t xml:space="preserve">díla upřesňována měřením, na jehož základě bude určena skutečná Cena Díla. Skutečná Cena Díla bude stanovena dle odstavce 1. tohoto článku a množství skutečně realizovaných položek Zhotovitelem při zhotovení Díla dle </w:t>
      </w:r>
      <w:proofErr w:type="spellStart"/>
      <w:r w:rsidR="00D25D9D" w:rsidRPr="00D25D9D">
        <w:rPr>
          <w:rFonts w:ascii="Verdana" w:hAnsi="Verdana" w:cstheme="minorHAnsi"/>
          <w:sz w:val="18"/>
          <w:szCs w:val="18"/>
        </w:rPr>
        <w:t>podčl</w:t>
      </w:r>
      <w:proofErr w:type="spellEnd"/>
      <w:r w:rsidR="00D25D9D" w:rsidRPr="00D25D9D">
        <w:rPr>
          <w:rFonts w:ascii="Verdana" w:hAnsi="Verdana" w:cstheme="minorHAnsi"/>
          <w:sz w:val="18"/>
          <w:szCs w:val="18"/>
        </w:rPr>
        <w:t xml:space="preserve">. 13.1 Obchodních podmínek, a to vždy na základě dokumentů uvedených v </w:t>
      </w:r>
      <w:proofErr w:type="spellStart"/>
      <w:r w:rsidR="00D25D9D" w:rsidRPr="00D25D9D">
        <w:rPr>
          <w:rFonts w:ascii="Verdana" w:hAnsi="Verdana" w:cstheme="minorHAnsi"/>
          <w:sz w:val="18"/>
          <w:szCs w:val="18"/>
        </w:rPr>
        <w:t>podčl</w:t>
      </w:r>
      <w:proofErr w:type="spellEnd"/>
      <w:r w:rsidR="00D25D9D" w:rsidRPr="00D25D9D">
        <w:rPr>
          <w:rFonts w:ascii="Verdana" w:hAnsi="Verdana" w:cstheme="minorHAnsi"/>
          <w:sz w:val="18"/>
          <w:szCs w:val="18"/>
        </w:rPr>
        <w:t>. 13.2 Obchodních podmínek.</w:t>
      </w:r>
    </w:p>
    <w:p w14:paraId="371B4AF8" w14:textId="2F69F23E" w:rsidR="00DC4AD5" w:rsidRPr="00061719" w:rsidRDefault="00784477" w:rsidP="00D25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</w:t>
      </w:r>
      <w:r w:rsidR="00D25D9D" w:rsidRPr="00D25D9D">
        <w:rPr>
          <w:rFonts w:ascii="Verdana" w:hAnsi="Verdana" w:cstheme="minorHAnsi"/>
          <w:sz w:val="18"/>
          <w:szCs w:val="18"/>
        </w:rPr>
        <w:t>že Objednatel v objednávce požaduje provedení stavebních prací, dodávek a služeb, které nejsou uvedeny v cenové soustavě URS, bude se při stanovení ceny těchto prací postupovat dle bodu 17.10 Obchodních podmínek.</w:t>
      </w:r>
    </w:p>
    <w:p w14:paraId="05D4B66B" w14:textId="77777777" w:rsidR="00EF7E80" w:rsidRPr="00D25D9D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 xml:space="preserve">. </w:t>
      </w:r>
      <w:r w:rsidR="002C46D1" w:rsidRPr="00D25D9D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D25D9D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D25D9D">
        <w:rPr>
          <w:rFonts w:ascii="Verdana" w:hAnsi="Verdana" w:cstheme="minorHAnsi"/>
          <w:sz w:val="18"/>
          <w:szCs w:val="18"/>
        </w:rPr>
        <w:t>Rámcové</w:t>
      </w:r>
      <w:r w:rsidR="00276548" w:rsidRPr="00D25D9D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D25D9D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D25D9D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D25D9D">
        <w:rPr>
          <w:rFonts w:ascii="Verdana" w:hAnsi="Verdana" w:cstheme="minorHAnsi"/>
          <w:sz w:val="18"/>
          <w:szCs w:val="18"/>
        </w:rPr>
        <w:t>skenu</w:t>
      </w:r>
      <w:proofErr w:type="spellEnd"/>
      <w:r w:rsidRPr="00D25D9D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3FDAE4CE" w:rsidR="004B17F3" w:rsidRPr="00D25D9D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D25D9D">
        <w:rPr>
          <w:rFonts w:ascii="Verdana" w:hAnsi="Verdana" w:cstheme="minorHAnsi"/>
          <w:sz w:val="18"/>
          <w:szCs w:val="18"/>
        </w:rPr>
        <w:t xml:space="preserve">je stanovena příslušnými kapitolami TKP staveb </w:t>
      </w:r>
      <w:r w:rsidR="00D25D9D" w:rsidRPr="00D25D9D">
        <w:rPr>
          <w:rFonts w:ascii="Verdana" w:hAnsi="Verdana" w:cstheme="minorHAnsi"/>
          <w:sz w:val="18"/>
          <w:szCs w:val="18"/>
        </w:rPr>
        <w:t>státních drah v platném znění.</w:t>
      </w:r>
    </w:p>
    <w:p w14:paraId="00D269C7" w14:textId="77777777" w:rsidR="000A2855" w:rsidRPr="00D25D9D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D25D9D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D25D9D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D25D9D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D25D9D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D25D9D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2F7A8F6E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</w:t>
      </w:r>
      <w:r w:rsidRPr="00D25D9D">
        <w:rPr>
          <w:rFonts w:ascii="Verdana" w:hAnsi="Verdana" w:cstheme="minorHAnsi"/>
          <w:sz w:val="18"/>
          <w:szCs w:val="18"/>
        </w:rPr>
        <w:t xml:space="preserve">osobám minimální výší pojistného minimálně </w:t>
      </w:r>
      <w:r w:rsidR="00D25D9D" w:rsidRPr="00D25D9D">
        <w:rPr>
          <w:rFonts w:ascii="Verdana" w:hAnsi="Verdana" w:cstheme="minorHAnsi"/>
          <w:sz w:val="18"/>
          <w:szCs w:val="18"/>
        </w:rPr>
        <w:t>45</w:t>
      </w:r>
      <w:r w:rsidRPr="00D25D9D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D25D9D" w:rsidRPr="00D25D9D">
        <w:rPr>
          <w:rFonts w:ascii="Verdana" w:hAnsi="Verdana" w:cstheme="minorHAnsi"/>
          <w:sz w:val="18"/>
          <w:szCs w:val="18"/>
        </w:rPr>
        <w:t>45</w:t>
      </w:r>
      <w:r w:rsidRPr="00D25D9D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</w:t>
      </w:r>
      <w:r w:rsidR="001F16AD" w:rsidRPr="00061719">
        <w:rPr>
          <w:rFonts w:ascii="Verdana" w:hAnsi="Verdana" w:cstheme="minorHAnsi"/>
          <w:sz w:val="18"/>
          <w:szCs w:val="18"/>
        </w:rPr>
        <w:lastRenderedPageBreak/>
        <w:t>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29C3F6A" w:rsidR="001F16AD" w:rsidRPr="00D25D9D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D25D9D">
        <w:rPr>
          <w:rFonts w:ascii="Verdana" w:hAnsi="Verdana" w:cstheme="minorHAnsi"/>
          <w:sz w:val="18"/>
          <w:szCs w:val="18"/>
        </w:rPr>
        <w:t>,</w:t>
      </w:r>
      <w:r w:rsidRPr="00D25D9D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D25D9D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D25D9D">
        <w:rPr>
          <w:rFonts w:ascii="Verdana" w:hAnsi="Verdana" w:cstheme="minorHAnsi"/>
          <w:sz w:val="18"/>
          <w:szCs w:val="18"/>
        </w:rPr>
        <w:t>3</w:t>
      </w:r>
      <w:r w:rsidRPr="00D25D9D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69E8E65A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> </w:t>
      </w:r>
      <w:r w:rsidR="00136A3A" w:rsidRPr="00827C5C">
        <w:rPr>
          <w:rFonts w:ascii="Verdana" w:hAnsi="Verdana" w:cstheme="minorHAnsi"/>
          <w:sz w:val="18"/>
          <w:szCs w:val="18"/>
        </w:rPr>
        <w:t xml:space="preserve">příloze č. </w:t>
      </w:r>
      <w:r w:rsidR="00827C5C" w:rsidRPr="00827C5C">
        <w:rPr>
          <w:rFonts w:ascii="Verdana" w:hAnsi="Verdana" w:cstheme="minorHAnsi"/>
          <w:sz w:val="18"/>
          <w:szCs w:val="18"/>
        </w:rPr>
        <w:t>2 a 3</w:t>
      </w:r>
      <w:r w:rsidR="00136A3A" w:rsidRPr="00827C5C">
        <w:rPr>
          <w:rFonts w:ascii="Verdana" w:hAnsi="Verdana" w:cstheme="minorHAnsi"/>
          <w:sz w:val="18"/>
          <w:szCs w:val="18"/>
        </w:rPr>
        <w:t xml:space="preserve"> rámcové dohody</w:t>
      </w:r>
      <w:r w:rsidR="00136A3A">
        <w:rPr>
          <w:rFonts w:ascii="Verdana" w:hAnsi="Verdana" w:cstheme="minorHAnsi"/>
          <w:sz w:val="18"/>
          <w:szCs w:val="18"/>
        </w:rPr>
        <w:t xml:space="preserve">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827C5C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827C5C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827C5C">
        <w:rPr>
          <w:rFonts w:ascii="Verdana" w:hAnsi="Verdana" w:cstheme="minorHAnsi"/>
          <w:sz w:val="18"/>
          <w:szCs w:val="18"/>
        </w:rPr>
        <w:t>„</w:t>
      </w:r>
      <w:r w:rsidRPr="00827C5C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827C5C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827C5C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827C5C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07DF71C" w:rsidR="00A57F6A" w:rsidRPr="00061719" w:rsidRDefault="00A57F6A" w:rsidP="0069361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</w:t>
      </w:r>
      <w:r w:rsidR="00693614" w:rsidRPr="00693614">
        <w:rPr>
          <w:rFonts w:ascii="Verdana" w:hAnsi="Verdana" w:cstheme="minorHAnsi"/>
          <w:sz w:val="18"/>
          <w:szCs w:val="18"/>
        </w:rPr>
        <w:t xml:space="preserve">se mění takto „Pro ocenění plnění na základě změnového řízení a víceprací dle předchozího odstavce se použije cenová soustava URS platná ke dni uzavření dílčí smlouvy, případně jednotkové ceny Sborníku prací pro údržbu a opravy železniční infrastruktury v platném znění, anebo jednotkové ceny co nejvíce odpovídající z hlediska věcného, časového a místa plnění. Pokud se druh víceprací v 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693614" w:rsidRPr="00693614">
        <w:rPr>
          <w:rFonts w:ascii="Verdana" w:hAnsi="Verdana" w:cstheme="minorHAnsi"/>
          <w:sz w:val="18"/>
          <w:szCs w:val="18"/>
        </w:rPr>
        <w:t>ust</w:t>
      </w:r>
      <w:proofErr w:type="spellEnd"/>
      <w:r w:rsidR="00693614" w:rsidRPr="00693614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45EFB746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0,1 % ceny nemůže </w:t>
      </w:r>
      <w:r w:rsidR="00D25D9D">
        <w:rPr>
          <w:rFonts w:ascii="Verdana" w:hAnsi="Verdana"/>
          <w:sz w:val="18"/>
          <w:szCs w:val="18"/>
          <w:lang w:eastAsia="en-US"/>
        </w:rPr>
        <w:t xml:space="preserve">být </w:t>
      </w:r>
      <w:r w:rsidRPr="00061719">
        <w:rPr>
          <w:rFonts w:ascii="Verdana" w:hAnsi="Verdana"/>
          <w:sz w:val="18"/>
          <w:szCs w:val="18"/>
          <w:lang w:eastAsia="en-US"/>
        </w:rPr>
        <w:t>výsledná částka pokuty za každý případ porušení povinnosti nebo za každý den započatý den prodlení méně než 10.000,- Kč</w:t>
      </w:r>
    </w:p>
    <w:p w14:paraId="0079D3D3" w14:textId="05AFB5FD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lastRenderedPageBreak/>
        <w:t xml:space="preserve">u pokut stanovených jako 0,5 % ceny nemůže </w:t>
      </w:r>
      <w:r w:rsidR="00D25D9D">
        <w:rPr>
          <w:rFonts w:ascii="Verdana" w:hAnsi="Verdana"/>
          <w:sz w:val="18"/>
          <w:szCs w:val="18"/>
          <w:lang w:eastAsia="en-US"/>
        </w:rPr>
        <w:t xml:space="preserve">být </w:t>
      </w:r>
      <w:r w:rsidRPr="00061719">
        <w:rPr>
          <w:rFonts w:ascii="Verdana" w:hAnsi="Verdana"/>
          <w:sz w:val="18"/>
          <w:szCs w:val="18"/>
          <w:lang w:eastAsia="en-US"/>
        </w:rPr>
        <w:t>výsledná částka pokuty za každý případ porušení povinnosti nebo za každý den započatý den prodlení méně než 20.000,- Kč</w:t>
      </w:r>
    </w:p>
    <w:p w14:paraId="5CBFF920" w14:textId="5B7980A7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</w:t>
      </w:r>
      <w:r w:rsidR="00D25D9D">
        <w:rPr>
          <w:rFonts w:ascii="Verdana" w:hAnsi="Verdana"/>
          <w:sz w:val="18"/>
          <w:szCs w:val="18"/>
          <w:lang w:eastAsia="en-US"/>
        </w:rPr>
        <w:t xml:space="preserve"> být</w:t>
      </w:r>
      <w:r w:rsidRPr="00061719">
        <w:rPr>
          <w:rFonts w:ascii="Verdana" w:hAnsi="Verdana"/>
          <w:sz w:val="18"/>
          <w:szCs w:val="18"/>
          <w:lang w:eastAsia="en-US"/>
        </w:rPr>
        <w:t xml:space="preserve">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1E5AEDFD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D25D9D" w:rsidRPr="00D25D9D">
        <w:rPr>
          <w:rFonts w:ascii="Verdana" w:hAnsi="Verdana" w:cstheme="minorHAnsi"/>
          <w:sz w:val="18"/>
          <w:szCs w:val="18"/>
          <w:highlight w:val="yellow"/>
        </w:rPr>
        <w:t>čtyřech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D25D9D">
        <w:rPr>
          <w:rFonts w:ascii="Verdana" w:hAnsi="Verdana" w:cstheme="minorHAnsi"/>
          <w:sz w:val="18"/>
          <w:szCs w:val="18"/>
        </w:rPr>
        <w:t>obdrží dva stejnopisy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D25D9D">
        <w:rPr>
          <w:rFonts w:ascii="Verdana" w:hAnsi="Verdana" w:cstheme="minorHAnsi"/>
          <w:sz w:val="18"/>
          <w:szCs w:val="18"/>
        </w:rPr>
        <w:t xml:space="preserve"> obdrží </w:t>
      </w:r>
      <w:r w:rsidR="00D25D9D" w:rsidRPr="00D25D9D">
        <w:rPr>
          <w:rFonts w:ascii="Verdana" w:hAnsi="Verdana" w:cstheme="minorHAnsi"/>
          <w:sz w:val="18"/>
          <w:szCs w:val="18"/>
          <w:highlight w:val="yellow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 w:rsidR="00D25D9D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D77FB88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EF984C4" w14:textId="77777777" w:rsidR="00D25D9D" w:rsidRPr="00385FE0" w:rsidRDefault="00D25D9D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7A96D7C6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1 –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 xml:space="preserve">Obchodní podmínky </w:t>
      </w:r>
    </w:p>
    <w:p w14:paraId="07E0B095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2 –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Nabídkový index</w:t>
      </w:r>
    </w:p>
    <w:p w14:paraId="51E2FC19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3 –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Limity VRN</w:t>
      </w:r>
    </w:p>
    <w:p w14:paraId="0BEE3F39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4 –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Seznam poddodavatelů</w:t>
      </w:r>
    </w:p>
    <w:p w14:paraId="4DFC3603" w14:textId="77777777" w:rsidR="00D25D9D" w:rsidRPr="00D25D9D" w:rsidRDefault="00D25D9D" w:rsidP="00D25D9D">
      <w:pPr>
        <w:suppressAutoHyphens/>
        <w:spacing w:after="0"/>
        <w:ind w:left="1410" w:right="-22" w:hanging="1410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5 -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 xml:space="preserve">Technické kvalitativní podmínky staveb státních drah (TKP Staveb), které jsou dostupné na adrese </w:t>
      </w:r>
      <w:hyperlink r:id="rId15" w:history="1">
        <w:r w:rsidRPr="00D25D9D">
          <w:rPr>
            <w:rFonts w:ascii="Verdana" w:eastAsia="Times New Roman" w:hAnsi="Verdana" w:cstheme="minorHAnsi"/>
            <w:color w:val="0000FF" w:themeColor="hyperlink"/>
            <w:sz w:val="18"/>
            <w:szCs w:val="18"/>
            <w:u w:val="single"/>
            <w:lang w:eastAsia="ar-SA"/>
          </w:rPr>
          <w:t>http://typdok.tudc.cz</w:t>
        </w:r>
      </w:hyperlink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. </w:t>
      </w:r>
    </w:p>
    <w:p w14:paraId="5FB0F5CB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6 -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Všeobecné technické podmínky zhotovení stavby</w:t>
      </w:r>
    </w:p>
    <w:p w14:paraId="22D24B62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7 -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Zvláštní technické podmínky zhotovení stavby</w:t>
      </w:r>
    </w:p>
    <w:p w14:paraId="78A2B1E2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lastRenderedPageBreak/>
        <w:t xml:space="preserve">Příloha č. 8 -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Oprávněné osoby</w:t>
      </w:r>
    </w:p>
    <w:p w14:paraId="148F2FA7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 xml:space="preserve">Příloha č. 9 - </w:t>
      </w: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ab/>
        <w:t>Zmocnění Vedoucího Zhotovitele</w:t>
      </w:r>
    </w:p>
    <w:p w14:paraId="5423D995" w14:textId="77777777" w:rsidR="00D25D9D" w:rsidRPr="00D25D9D" w:rsidRDefault="00D25D9D" w:rsidP="00D25D9D">
      <w:pPr>
        <w:suppressAutoHyphens/>
        <w:spacing w:after="0"/>
        <w:ind w:right="-22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D25D9D">
        <w:rPr>
          <w:rFonts w:ascii="Verdana" w:eastAsia="Times New Roman" w:hAnsi="Verdana" w:cstheme="minorHAnsi"/>
          <w:sz w:val="18"/>
          <w:szCs w:val="18"/>
          <w:lang w:eastAsia="ar-SA"/>
        </w:rPr>
        <w:t>Příloha č. 10 -  Nález podezřelého předmětu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18815D5E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5E78C08" w14:textId="77777777" w:rsidR="00D25D9D" w:rsidRPr="00D25D9D" w:rsidRDefault="00D25D9D" w:rsidP="00D25D9D">
      <w:pPr>
        <w:pStyle w:val="acnormal"/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7DA753B" w14:textId="77777777" w:rsidR="00D25D9D" w:rsidRPr="00D25D9D" w:rsidRDefault="00D25D9D" w:rsidP="00D25D9D">
      <w:pPr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D25D9D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Pr="00D25D9D">
        <w:rPr>
          <w:rFonts w:ascii="Verdana" w:hAnsi="Verdana" w:cstheme="minorHAnsi"/>
          <w:b/>
          <w:sz w:val="18"/>
          <w:szCs w:val="18"/>
        </w:rPr>
        <w:tab/>
      </w:r>
      <w:r w:rsidRPr="00D25D9D">
        <w:rPr>
          <w:rFonts w:ascii="Verdana" w:hAnsi="Verdana" w:cstheme="minorHAnsi"/>
          <w:b/>
          <w:sz w:val="18"/>
          <w:szCs w:val="18"/>
        </w:rPr>
        <w:tab/>
      </w:r>
      <w:r w:rsidRPr="00D25D9D">
        <w:rPr>
          <w:rFonts w:ascii="Verdana" w:hAnsi="Verdana" w:cstheme="minorHAnsi"/>
          <w:b/>
          <w:sz w:val="18"/>
          <w:szCs w:val="18"/>
        </w:rPr>
        <w:tab/>
      </w:r>
      <w:r w:rsidRPr="00D25D9D"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12D04D53" w14:textId="77777777" w:rsidR="00D25D9D" w:rsidRPr="00D25D9D" w:rsidRDefault="00D25D9D" w:rsidP="00D25D9D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D25D9D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C332A6A" w14:textId="77777777" w:rsidR="00D25D9D" w:rsidRPr="00D25D9D" w:rsidRDefault="00D25D9D" w:rsidP="00D25D9D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>ředitel</w:t>
      </w:r>
    </w:p>
    <w:p w14:paraId="76B12558" w14:textId="31EF065E" w:rsidR="000770E5" w:rsidRPr="00061719" w:rsidRDefault="00D25D9D" w:rsidP="00D25D9D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D25D9D">
        <w:rPr>
          <w:rFonts w:ascii="Verdana" w:hAnsi="Verdana" w:cstheme="minorHAnsi"/>
          <w:sz w:val="18"/>
          <w:szCs w:val="18"/>
        </w:rPr>
        <w:t>Oblastní ředitelství Praha</w:t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4F9EA016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37052A6" w14:textId="77777777" w:rsidR="00D25D9D" w:rsidRPr="00D25D9D" w:rsidRDefault="00D25D9D" w:rsidP="00D25D9D">
      <w:pPr>
        <w:pStyle w:val="acnormal"/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3B2CC519" w14:textId="028BA589" w:rsidR="00D25D9D" w:rsidRPr="00D25D9D" w:rsidRDefault="0022687B" w:rsidP="0022687B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67B787F2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25D9D" w:rsidRPr="00061719" w14:paraId="42607ED5" w14:textId="77777777" w:rsidTr="00D25D9D">
        <w:tc>
          <w:tcPr>
            <w:tcW w:w="2206" w:type="dxa"/>
            <w:vAlign w:val="center"/>
          </w:tcPr>
          <w:p w14:paraId="5330D732" w14:textId="77777777" w:rsidR="00D25D9D" w:rsidRPr="00061719" w:rsidRDefault="00D25D9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B466236" w14:textId="5A2B2E0C" w:rsidR="00D25D9D" w:rsidRPr="00061719" w:rsidRDefault="00D25D9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C942A1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D25D9D" w:rsidRPr="00061719" w14:paraId="7A851464" w14:textId="77777777" w:rsidTr="00D25D9D">
        <w:tc>
          <w:tcPr>
            <w:tcW w:w="2206" w:type="dxa"/>
            <w:vAlign w:val="center"/>
          </w:tcPr>
          <w:p w14:paraId="0AEE9470" w14:textId="77777777" w:rsidR="00D25D9D" w:rsidRPr="00061719" w:rsidRDefault="00D25D9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9D8334E" w14:textId="78308A94" w:rsidR="00D25D9D" w:rsidRPr="00061719" w:rsidRDefault="003506D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="00D25D9D" w:rsidRPr="00C942A1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25D9D" w:rsidRPr="00061719" w14:paraId="4BA4FD36" w14:textId="77777777" w:rsidTr="00D25D9D">
        <w:tc>
          <w:tcPr>
            <w:tcW w:w="2206" w:type="dxa"/>
            <w:vAlign w:val="center"/>
          </w:tcPr>
          <w:p w14:paraId="5E6C3CA2" w14:textId="77777777" w:rsidR="00D25D9D" w:rsidRPr="00061719" w:rsidRDefault="00D25D9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55513EC" w14:textId="1C18947E" w:rsidR="00D25D9D" w:rsidRPr="00061719" w:rsidRDefault="00D25D9D" w:rsidP="00D25D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C942A1">
              <w:rPr>
                <w:rFonts w:ascii="Verdana" w:hAnsi="Verdana"/>
                <w:sz w:val="18"/>
                <w:szCs w:val="18"/>
              </w:rPr>
              <w:t>972 224 810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6FF68CA4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 w:rsidR="00F2340C">
        <w:rPr>
          <w:rFonts w:ascii="Verdana" w:hAnsi="Verdana" w:cs="Calibri"/>
          <w:sz w:val="18"/>
          <w:szCs w:val="18"/>
        </w:rPr>
        <w:t xml:space="preserve"> l.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2F763806" w:rsidR="0022687B" w:rsidRPr="00061719" w:rsidRDefault="009E261A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Tomáš Dědek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7C796286" w:rsidR="0022687B" w:rsidRPr="00061719" w:rsidRDefault="00F2340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Dedek@spravazeleznic.cz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481F60E1" w:rsidR="0022687B" w:rsidRPr="00061719" w:rsidRDefault="00F2340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725 721 225</w:t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69F6E09E" w:rsidR="0022687B" w:rsidRPr="00061719" w:rsidRDefault="00F2340C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ve věcech technických </w:t>
      </w:r>
      <w:proofErr w:type="spellStart"/>
      <w:r>
        <w:rPr>
          <w:rFonts w:ascii="Verdana" w:hAnsi="Verdana" w:cs="Calibri"/>
          <w:sz w:val="18"/>
          <w:szCs w:val="18"/>
        </w:rPr>
        <w:t>ll</w:t>
      </w:r>
      <w:proofErr w:type="spellEnd"/>
      <w:r>
        <w:rPr>
          <w:rFonts w:ascii="Verdana" w:hAnsi="Verdana" w:cs="Calibri"/>
          <w:sz w:val="18"/>
          <w:szCs w:val="18"/>
        </w:rPr>
        <w:t>.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3D7EAB2B" w:rsidR="0022687B" w:rsidRPr="00061719" w:rsidRDefault="009E261A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Petr Skokánek</w:t>
            </w:r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6379A597" w:rsidR="0022687B" w:rsidRPr="00061719" w:rsidRDefault="00F2340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Skokanek@spravazeleznic.cz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7D0B7CC4" w:rsidR="0022687B" w:rsidRPr="00061719" w:rsidRDefault="00F2340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724 324 256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10058034" w:rsidR="0022687B" w:rsidRPr="00061719" w:rsidRDefault="00F2340C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Ing. Vladimír Majzlík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05661D48" w:rsidR="0022687B" w:rsidRPr="00061719" w:rsidRDefault="00F2340C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Majzlik@spravazeleznic.cz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3812E9A8" w:rsidR="0022687B" w:rsidRPr="00061719" w:rsidRDefault="00F2340C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972 245 017</w:t>
            </w:r>
          </w:p>
        </w:tc>
      </w:tr>
    </w:tbl>
    <w:p w14:paraId="7CAF72DD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4D4E4E48" w14:textId="4B135086" w:rsidR="00F2340C" w:rsidRPr="00F2340C" w:rsidRDefault="00F2340C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Smíchov</w:t>
      </w:r>
      <w:r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2340C" w:rsidRPr="00F2340C" w14:paraId="39D608CF" w14:textId="77777777" w:rsidTr="00F2340C">
        <w:tc>
          <w:tcPr>
            <w:tcW w:w="2206" w:type="dxa"/>
            <w:vAlign w:val="center"/>
          </w:tcPr>
          <w:p w14:paraId="501DF772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28AAC1B5" w14:textId="7606B71C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Zdeněk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Sábel</w:t>
            </w:r>
            <w:proofErr w:type="spellEnd"/>
          </w:p>
        </w:tc>
      </w:tr>
      <w:tr w:rsidR="00F2340C" w:rsidRPr="00F2340C" w14:paraId="1970C743" w14:textId="77777777" w:rsidTr="00F2340C">
        <w:tc>
          <w:tcPr>
            <w:tcW w:w="2206" w:type="dxa"/>
            <w:vAlign w:val="center"/>
          </w:tcPr>
          <w:p w14:paraId="631CAEAF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5E666656" w14:textId="3FF03C98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Sabel@spravazeleznic.cz</w:t>
            </w:r>
          </w:p>
        </w:tc>
      </w:tr>
      <w:tr w:rsidR="00F2340C" w:rsidRPr="00F2340C" w14:paraId="2A24A0AC" w14:textId="77777777" w:rsidTr="00F2340C">
        <w:tc>
          <w:tcPr>
            <w:tcW w:w="2206" w:type="dxa"/>
            <w:vAlign w:val="center"/>
          </w:tcPr>
          <w:p w14:paraId="16991CE6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0AF668F1" w14:textId="5C3D870A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972 226 516 / </w:t>
            </w:r>
            <w:r w:rsidRPr="009E261A">
              <w:rPr>
                <w:rFonts w:ascii="Verdana" w:hAnsi="Verdana"/>
                <w:sz w:val="18"/>
                <w:szCs w:val="18"/>
              </w:rPr>
              <w:t>725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017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342</w:t>
            </w:r>
          </w:p>
        </w:tc>
      </w:tr>
    </w:tbl>
    <w:p w14:paraId="5EA02DC8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1582373F" w14:textId="38E52F03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Braník: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F2340C" w:rsidRPr="00F2340C" w14:paraId="0855E75A" w14:textId="77777777" w:rsidTr="00F2340C">
        <w:tc>
          <w:tcPr>
            <w:tcW w:w="2206" w:type="dxa"/>
            <w:vAlign w:val="center"/>
          </w:tcPr>
          <w:p w14:paraId="3F8E1FBD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4A6463CF" w14:textId="33D16165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Martin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Oubram</w:t>
            </w:r>
            <w:proofErr w:type="spellEnd"/>
          </w:p>
        </w:tc>
      </w:tr>
      <w:tr w:rsidR="00F2340C" w:rsidRPr="00F2340C" w14:paraId="6B2C98A2" w14:textId="77777777" w:rsidTr="00F2340C">
        <w:tc>
          <w:tcPr>
            <w:tcW w:w="2206" w:type="dxa"/>
            <w:vAlign w:val="center"/>
          </w:tcPr>
          <w:p w14:paraId="6299116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253E8978" w14:textId="44337A10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OubramM@spravazeleznic.cz</w:t>
            </w:r>
          </w:p>
        </w:tc>
      </w:tr>
      <w:tr w:rsidR="00F2340C" w:rsidRPr="00F2340C" w14:paraId="750E32A4" w14:textId="77777777" w:rsidTr="00F2340C">
        <w:tc>
          <w:tcPr>
            <w:tcW w:w="2206" w:type="dxa"/>
            <w:vAlign w:val="center"/>
          </w:tcPr>
          <w:p w14:paraId="28E8691A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7714D3CC" w14:textId="11B4D3D9" w:rsidR="00F2340C" w:rsidRPr="009E261A" w:rsidRDefault="009E261A" w:rsidP="00F2340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972 228 837 /</w:t>
            </w:r>
            <w:r w:rsidRPr="009E261A">
              <w:rPr>
                <w:rFonts w:ascii="Verdana" w:hAnsi="Verdana"/>
                <w:sz w:val="18"/>
                <w:szCs w:val="18"/>
              </w:rPr>
              <w:t xml:space="preserve"> 725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069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126</w:t>
            </w:r>
          </w:p>
        </w:tc>
      </w:tr>
    </w:tbl>
    <w:p w14:paraId="2081D231" w14:textId="3137CC2E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lastRenderedPageBreak/>
        <w:t>stavební dozor za TO Vršovice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F2340C" w:rsidRPr="00F2340C" w14:paraId="7BF01A02" w14:textId="77777777" w:rsidTr="00F2340C">
        <w:tc>
          <w:tcPr>
            <w:tcW w:w="2206" w:type="dxa"/>
            <w:vAlign w:val="center"/>
          </w:tcPr>
          <w:p w14:paraId="2F6952F5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6A03A79" w14:textId="5741A4EB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František Nevrlý</w:t>
            </w:r>
          </w:p>
        </w:tc>
      </w:tr>
      <w:tr w:rsidR="00F2340C" w:rsidRPr="00F2340C" w14:paraId="31EFA54A" w14:textId="77777777" w:rsidTr="00F2340C">
        <w:tc>
          <w:tcPr>
            <w:tcW w:w="2206" w:type="dxa"/>
            <w:vAlign w:val="center"/>
          </w:tcPr>
          <w:p w14:paraId="4522A7DA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5D8E2A0A" w14:textId="5B77F9FD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Nevrly@spravazeleznic.cz</w:t>
            </w:r>
          </w:p>
        </w:tc>
      </w:tr>
      <w:tr w:rsidR="00F2340C" w:rsidRPr="00F2340C" w14:paraId="0219D788" w14:textId="77777777" w:rsidTr="00F2340C">
        <w:tc>
          <w:tcPr>
            <w:tcW w:w="2206" w:type="dxa"/>
            <w:vAlign w:val="center"/>
          </w:tcPr>
          <w:p w14:paraId="51A4D1B0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3B0D238E" w14:textId="10599C19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972 226 516 / </w:t>
            </w:r>
            <w:r w:rsidRPr="009E261A">
              <w:rPr>
                <w:rFonts w:ascii="Verdana" w:hAnsi="Verdana"/>
                <w:sz w:val="18"/>
                <w:szCs w:val="18"/>
              </w:rPr>
              <w:t>725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397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378</w:t>
            </w:r>
          </w:p>
        </w:tc>
      </w:tr>
    </w:tbl>
    <w:p w14:paraId="346E20D3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7FEDFCC4" w14:textId="34AAD4B6" w:rsidR="00F2340C" w:rsidRPr="00F2340C" w:rsidRDefault="00F2340C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stavební dozor </w:t>
      </w:r>
      <w:r w:rsidRPr="009E261A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za </w:t>
      </w:r>
      <w:r w:rsidR="00B11BB7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TO </w:t>
      </w:r>
      <w:r w:rsidR="009E261A" w:rsidRPr="009E261A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SSP Praha </w:t>
      </w:r>
      <w:proofErr w:type="spellStart"/>
      <w:proofErr w:type="gramStart"/>
      <w:r w:rsidR="009E261A" w:rsidRPr="009E261A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hl.n</w:t>
      </w:r>
      <w:proofErr w:type="spellEnd"/>
      <w:r w:rsidR="009E261A" w:rsidRPr="009E261A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,</w:t>
      </w:r>
      <w:r w:rsidRPr="009E261A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2340C" w:rsidRPr="00F2340C" w14:paraId="6AF81757" w14:textId="77777777" w:rsidTr="00F2340C">
        <w:tc>
          <w:tcPr>
            <w:tcW w:w="2206" w:type="dxa"/>
            <w:vAlign w:val="center"/>
          </w:tcPr>
          <w:p w14:paraId="6806F24C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6D8A3AA1" w14:textId="6CD1DA1C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David Němec</w:t>
            </w:r>
          </w:p>
        </w:tc>
      </w:tr>
      <w:tr w:rsidR="00F2340C" w:rsidRPr="00F2340C" w14:paraId="1144DAB4" w14:textId="77777777" w:rsidTr="00F2340C">
        <w:tc>
          <w:tcPr>
            <w:tcW w:w="2206" w:type="dxa"/>
            <w:vAlign w:val="center"/>
          </w:tcPr>
          <w:p w14:paraId="4AA4515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1CD0CC93" w14:textId="21A5B965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Nemec@spravazeleznic.cz</w:t>
            </w:r>
          </w:p>
        </w:tc>
      </w:tr>
      <w:tr w:rsidR="00F2340C" w:rsidRPr="00F2340C" w14:paraId="440C3056" w14:textId="77777777" w:rsidTr="00F2340C">
        <w:tc>
          <w:tcPr>
            <w:tcW w:w="2206" w:type="dxa"/>
            <w:vAlign w:val="center"/>
          </w:tcPr>
          <w:p w14:paraId="1986E0D1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666B78F5" w14:textId="07F55B16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224</w:t>
            </w:r>
            <w:r>
              <w:rPr>
                <w:rFonts w:ascii="Verdana" w:hAnsi="Verdana"/>
                <w:sz w:val="18"/>
                <w:szCs w:val="18"/>
              </w:rPr>
              <w:t xml:space="preserve"> 895 / </w:t>
            </w:r>
            <w:r w:rsidRPr="009E261A">
              <w:rPr>
                <w:rFonts w:ascii="Verdana" w:hAnsi="Verdana"/>
                <w:sz w:val="18"/>
                <w:szCs w:val="18"/>
              </w:rPr>
              <w:t>606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246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701</w:t>
            </w:r>
          </w:p>
        </w:tc>
      </w:tr>
    </w:tbl>
    <w:p w14:paraId="7131E2C1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2CA619AD" w14:textId="18F6A79C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Benešov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2340C" w:rsidRPr="00F2340C" w14:paraId="5C730CD5" w14:textId="77777777" w:rsidTr="00F2340C">
        <w:tc>
          <w:tcPr>
            <w:tcW w:w="2206" w:type="dxa"/>
            <w:vAlign w:val="center"/>
          </w:tcPr>
          <w:p w14:paraId="7B33D9E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0F3AC3B7" w14:textId="69087236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Zdeněk Smrčina</w:t>
            </w:r>
          </w:p>
        </w:tc>
      </w:tr>
      <w:tr w:rsidR="00F2340C" w:rsidRPr="00F2340C" w14:paraId="4055F198" w14:textId="77777777" w:rsidTr="00F2340C">
        <w:tc>
          <w:tcPr>
            <w:tcW w:w="2206" w:type="dxa"/>
            <w:vAlign w:val="center"/>
          </w:tcPr>
          <w:p w14:paraId="44C040EA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1E871C50" w14:textId="2A56020C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Smrcina@spravazeleznic.cz</w:t>
            </w:r>
          </w:p>
        </w:tc>
      </w:tr>
      <w:tr w:rsidR="00F2340C" w:rsidRPr="00F2340C" w14:paraId="08A86347" w14:textId="77777777" w:rsidTr="00F2340C">
        <w:tc>
          <w:tcPr>
            <w:tcW w:w="2206" w:type="dxa"/>
            <w:vAlign w:val="center"/>
          </w:tcPr>
          <w:p w14:paraId="3C222777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0550D281" w14:textId="2D359FFB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972 228 837 / </w:t>
            </w:r>
            <w:r w:rsidRPr="009E261A">
              <w:rPr>
                <w:rFonts w:ascii="Verdana" w:hAnsi="Verdana"/>
                <w:sz w:val="18"/>
                <w:szCs w:val="18"/>
              </w:rPr>
              <w:t>721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629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698</w:t>
            </w:r>
          </w:p>
        </w:tc>
      </w:tr>
    </w:tbl>
    <w:p w14:paraId="3EF5480D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62D9E978" w14:textId="4C0C6008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Beroun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2340C" w:rsidRPr="00F2340C" w14:paraId="76112466" w14:textId="77777777" w:rsidTr="00F2340C">
        <w:tc>
          <w:tcPr>
            <w:tcW w:w="2206" w:type="dxa"/>
            <w:vAlign w:val="center"/>
          </w:tcPr>
          <w:p w14:paraId="5CDE9D20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633EAA1E" w14:textId="23ECA531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Pavel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Machačný</w:t>
            </w:r>
            <w:proofErr w:type="spellEnd"/>
          </w:p>
        </w:tc>
      </w:tr>
      <w:tr w:rsidR="00F2340C" w:rsidRPr="00F2340C" w14:paraId="10A4B353" w14:textId="77777777" w:rsidTr="00F2340C">
        <w:tc>
          <w:tcPr>
            <w:tcW w:w="2206" w:type="dxa"/>
            <w:vAlign w:val="center"/>
          </w:tcPr>
          <w:p w14:paraId="0AAE65A7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5F7E703D" w14:textId="77777777" w:rsidR="00F2340C" w:rsidRPr="00F2340C" w:rsidRDefault="00F2340C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2340C">
              <w:rPr>
                <w:rFonts w:ascii="Verdana" w:hAnsi="Verdana"/>
                <w:sz w:val="18"/>
                <w:szCs w:val="18"/>
              </w:rPr>
              <w:t>Majzlik@spravazeleznic.cz</w:t>
            </w:r>
          </w:p>
        </w:tc>
      </w:tr>
      <w:tr w:rsidR="00F2340C" w:rsidRPr="00F2340C" w14:paraId="257EE000" w14:textId="77777777" w:rsidTr="00F2340C">
        <w:tc>
          <w:tcPr>
            <w:tcW w:w="2206" w:type="dxa"/>
            <w:vAlign w:val="center"/>
          </w:tcPr>
          <w:p w14:paraId="19801E7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631E891C" w14:textId="2B54832B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251</w:t>
            </w:r>
            <w:r>
              <w:rPr>
                <w:rFonts w:ascii="Verdana" w:hAnsi="Verdana"/>
                <w:sz w:val="18"/>
                <w:szCs w:val="18"/>
              </w:rPr>
              <w:t xml:space="preserve"> 154 / </w:t>
            </w:r>
            <w:r w:rsidRPr="009E261A">
              <w:rPr>
                <w:rFonts w:ascii="Verdana" w:hAnsi="Verdana"/>
                <w:sz w:val="18"/>
                <w:szCs w:val="18"/>
              </w:rPr>
              <w:t>724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944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270</w:t>
            </w:r>
          </w:p>
        </w:tc>
      </w:tr>
    </w:tbl>
    <w:p w14:paraId="6807C947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0F6417E6" w14:textId="06B565C9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Lochovice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2340C" w:rsidRPr="00F2340C" w14:paraId="5A7D68F2" w14:textId="77777777" w:rsidTr="00F2340C">
        <w:tc>
          <w:tcPr>
            <w:tcW w:w="2206" w:type="dxa"/>
            <w:vAlign w:val="center"/>
          </w:tcPr>
          <w:p w14:paraId="0DF5995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22095137" w14:textId="3BDE8C07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Miroslav Hora</w:t>
            </w:r>
          </w:p>
        </w:tc>
      </w:tr>
      <w:tr w:rsidR="00F2340C" w:rsidRPr="00F2340C" w14:paraId="30965846" w14:textId="77777777" w:rsidTr="00F2340C">
        <w:tc>
          <w:tcPr>
            <w:tcW w:w="2206" w:type="dxa"/>
            <w:vAlign w:val="center"/>
          </w:tcPr>
          <w:p w14:paraId="182FEE1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01CD006F" w14:textId="6F8D1331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HoraMi@spravazeleznic.cz</w:t>
            </w:r>
          </w:p>
        </w:tc>
      </w:tr>
      <w:tr w:rsidR="00F2340C" w:rsidRPr="00F2340C" w14:paraId="0064DF99" w14:textId="77777777" w:rsidTr="00F2340C">
        <w:tc>
          <w:tcPr>
            <w:tcW w:w="2206" w:type="dxa"/>
            <w:vAlign w:val="center"/>
          </w:tcPr>
          <w:p w14:paraId="12C546E2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353D013A" w14:textId="5F08BBA2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972 250 753 / </w:t>
            </w:r>
            <w:r w:rsidRPr="009E261A">
              <w:rPr>
                <w:rFonts w:ascii="Verdana" w:hAnsi="Verdana"/>
                <w:sz w:val="18"/>
                <w:szCs w:val="18"/>
              </w:rPr>
              <w:t>728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732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192</w:t>
            </w:r>
            <w:r w:rsidRPr="009E261A">
              <w:rPr>
                <w:rFonts w:ascii="Verdana" w:hAnsi="Verdana"/>
                <w:sz w:val="18"/>
                <w:szCs w:val="18"/>
              </w:rPr>
              <w:tab/>
            </w:r>
          </w:p>
        </w:tc>
      </w:tr>
    </w:tbl>
    <w:p w14:paraId="38E295AC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6794BDF3" w14:textId="2C513C1F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stavební dozor za TO Kralupy n. </w:t>
      </w:r>
      <w:proofErr w:type="spellStart"/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Vlt</w:t>
      </w:r>
      <w:proofErr w:type="spellEnd"/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F2340C" w:rsidRPr="00F2340C" w14:paraId="6EEC2C1A" w14:textId="77777777" w:rsidTr="00F2340C">
        <w:tc>
          <w:tcPr>
            <w:tcW w:w="2206" w:type="dxa"/>
            <w:vAlign w:val="center"/>
          </w:tcPr>
          <w:p w14:paraId="50481308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80EE821" w14:textId="7A725D2D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Lubomír Krebs</w:t>
            </w:r>
          </w:p>
        </w:tc>
      </w:tr>
      <w:tr w:rsidR="00F2340C" w:rsidRPr="00F2340C" w14:paraId="52E20A46" w14:textId="77777777" w:rsidTr="00F2340C">
        <w:tc>
          <w:tcPr>
            <w:tcW w:w="2206" w:type="dxa"/>
            <w:vAlign w:val="center"/>
          </w:tcPr>
          <w:p w14:paraId="7564D3DC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382086D9" w14:textId="16135ED5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Krebs@spravazeleznic.cz</w:t>
            </w:r>
          </w:p>
        </w:tc>
      </w:tr>
      <w:tr w:rsidR="00F2340C" w:rsidRPr="00F2340C" w14:paraId="26B7D479" w14:textId="77777777" w:rsidTr="00F2340C">
        <w:tc>
          <w:tcPr>
            <w:tcW w:w="2206" w:type="dxa"/>
            <w:vAlign w:val="center"/>
          </w:tcPr>
          <w:p w14:paraId="44B0F84B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54323F6B" w14:textId="6B49B30C" w:rsidR="00F2340C" w:rsidRPr="00F2340C" w:rsidRDefault="009E261A" w:rsidP="009E261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257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449 / 728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026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866</w:t>
            </w:r>
          </w:p>
        </w:tc>
      </w:tr>
    </w:tbl>
    <w:p w14:paraId="4A3CD663" w14:textId="489DBF98" w:rsid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66CC12BE" w14:textId="51FBC980" w:rsidR="009E261A" w:rsidRDefault="009E261A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436E1CD9" w14:textId="77777777" w:rsidR="009E261A" w:rsidRPr="00F2340C" w:rsidRDefault="009E261A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58654720" w14:textId="5FB8B349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lastRenderedPageBreak/>
        <w:t>stavební dozor za TO Neratovice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  <w:bookmarkStart w:id="0" w:name="_GoBack"/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F2340C" w:rsidRPr="00F2340C" w14:paraId="73F63B14" w14:textId="77777777" w:rsidTr="00F2340C">
        <w:tc>
          <w:tcPr>
            <w:tcW w:w="2206" w:type="dxa"/>
            <w:vAlign w:val="center"/>
          </w:tcPr>
          <w:p w14:paraId="40667E5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37091EFA" w14:textId="46FDF13E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Ot</w:t>
            </w:r>
            <w:r w:rsidR="00A23087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Čech</w:t>
            </w:r>
          </w:p>
        </w:tc>
      </w:tr>
      <w:tr w:rsidR="00F2340C" w:rsidRPr="00F2340C" w14:paraId="3094B0BC" w14:textId="77777777" w:rsidTr="00F2340C">
        <w:tc>
          <w:tcPr>
            <w:tcW w:w="2206" w:type="dxa"/>
            <w:vAlign w:val="center"/>
          </w:tcPr>
          <w:p w14:paraId="48455B70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27D1A431" w14:textId="437FA323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CechO@spravazeleznic.cz</w:t>
            </w:r>
          </w:p>
        </w:tc>
      </w:tr>
      <w:tr w:rsidR="00F2340C" w:rsidRPr="00F2340C" w14:paraId="017DCF3C" w14:textId="77777777" w:rsidTr="00F2340C">
        <w:tc>
          <w:tcPr>
            <w:tcW w:w="2206" w:type="dxa"/>
            <w:vAlign w:val="center"/>
          </w:tcPr>
          <w:p w14:paraId="534CFA55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4B2C6725" w14:textId="112E6F7C" w:rsidR="00F2340C" w:rsidRPr="00F2340C" w:rsidRDefault="009E261A" w:rsidP="009E261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257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250 / 725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770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173</w:t>
            </w:r>
          </w:p>
        </w:tc>
      </w:tr>
    </w:tbl>
    <w:p w14:paraId="5283EDA3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2A4072F0" w14:textId="7DF82A4B" w:rsidR="00F2340C" w:rsidRPr="00F2340C" w:rsidRDefault="009E261A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Kladno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2340C" w:rsidRPr="00F2340C" w14:paraId="6F38483D" w14:textId="77777777" w:rsidTr="00F2340C">
        <w:tc>
          <w:tcPr>
            <w:tcW w:w="2206" w:type="dxa"/>
            <w:vAlign w:val="center"/>
          </w:tcPr>
          <w:p w14:paraId="058635A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08C45688" w14:textId="7CFA7827" w:rsidR="00F2340C" w:rsidRPr="00F2340C" w:rsidRDefault="009E261A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Petr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Joneš</w:t>
            </w:r>
            <w:proofErr w:type="spellEnd"/>
          </w:p>
        </w:tc>
      </w:tr>
      <w:tr w:rsidR="00F2340C" w:rsidRPr="00F2340C" w14:paraId="16F8ED39" w14:textId="77777777" w:rsidTr="00F2340C">
        <w:tc>
          <w:tcPr>
            <w:tcW w:w="2206" w:type="dxa"/>
            <w:vAlign w:val="center"/>
          </w:tcPr>
          <w:p w14:paraId="5D384C2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53CDBDD8" w14:textId="28C5B04B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Jones@spravazeleznic.cz</w:t>
            </w:r>
          </w:p>
        </w:tc>
      </w:tr>
      <w:tr w:rsidR="00F2340C" w:rsidRPr="00F2340C" w14:paraId="2D922A62" w14:textId="77777777" w:rsidTr="00F2340C">
        <w:tc>
          <w:tcPr>
            <w:tcW w:w="2206" w:type="dxa"/>
            <w:vAlign w:val="center"/>
          </w:tcPr>
          <w:p w14:paraId="66B170C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40418B84" w14:textId="01FB9973" w:rsidR="00F2340C" w:rsidRPr="00F2340C" w:rsidRDefault="009E261A" w:rsidP="009E261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9E261A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 xml:space="preserve"> 258 470 / </w:t>
            </w:r>
            <w:r w:rsidRPr="009E261A">
              <w:rPr>
                <w:rFonts w:ascii="Verdana" w:hAnsi="Verdana"/>
                <w:sz w:val="18"/>
                <w:szCs w:val="18"/>
              </w:rPr>
              <w:t>601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9E261A">
              <w:rPr>
                <w:rFonts w:ascii="Verdana" w:hAnsi="Verdana"/>
                <w:sz w:val="18"/>
                <w:szCs w:val="18"/>
              </w:rPr>
              <w:t>367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261A">
              <w:rPr>
                <w:rFonts w:ascii="Verdana" w:hAnsi="Verdana"/>
                <w:sz w:val="18"/>
                <w:szCs w:val="18"/>
              </w:rPr>
              <w:t>942</w:t>
            </w:r>
          </w:p>
        </w:tc>
      </w:tr>
    </w:tbl>
    <w:p w14:paraId="4A422747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5B70CCDD" w14:textId="38C6995B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Slaný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2340C" w:rsidRPr="00F2340C" w14:paraId="771E70A8" w14:textId="77777777" w:rsidTr="00F2340C">
        <w:tc>
          <w:tcPr>
            <w:tcW w:w="2206" w:type="dxa"/>
            <w:vAlign w:val="center"/>
          </w:tcPr>
          <w:p w14:paraId="11701D45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151F9186" w14:textId="63C01C76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Miroslav Tůma</w:t>
            </w:r>
          </w:p>
        </w:tc>
      </w:tr>
      <w:tr w:rsidR="00F2340C" w:rsidRPr="00F2340C" w14:paraId="1F67B8F6" w14:textId="77777777" w:rsidTr="00F2340C">
        <w:tc>
          <w:tcPr>
            <w:tcW w:w="2206" w:type="dxa"/>
            <w:vAlign w:val="center"/>
          </w:tcPr>
          <w:p w14:paraId="65D4D8F6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31943FFE" w14:textId="2FBD4106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TumaMi@spravazeleznic.cz</w:t>
            </w:r>
          </w:p>
        </w:tc>
      </w:tr>
      <w:tr w:rsidR="00F2340C" w:rsidRPr="00F2340C" w14:paraId="7F299E9E" w14:textId="77777777" w:rsidTr="00F2340C">
        <w:tc>
          <w:tcPr>
            <w:tcW w:w="2206" w:type="dxa"/>
            <w:vAlign w:val="center"/>
          </w:tcPr>
          <w:p w14:paraId="692F65F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5A68BD0E" w14:textId="78100510" w:rsidR="00F2340C" w:rsidRPr="00F2340C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023BF2">
              <w:rPr>
                <w:rFonts w:ascii="Verdana" w:hAnsi="Verdana"/>
                <w:sz w:val="18"/>
                <w:szCs w:val="18"/>
              </w:rPr>
              <w:t>257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23BF2">
              <w:rPr>
                <w:rFonts w:ascii="Verdana" w:hAnsi="Verdana"/>
                <w:sz w:val="18"/>
                <w:szCs w:val="18"/>
              </w:rPr>
              <w:t>321 / 728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023BF2">
              <w:rPr>
                <w:rFonts w:ascii="Verdana" w:hAnsi="Verdana"/>
                <w:sz w:val="18"/>
                <w:szCs w:val="18"/>
              </w:rPr>
              <w:t>747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23BF2">
              <w:rPr>
                <w:rFonts w:ascii="Verdana" w:hAnsi="Verdana"/>
                <w:sz w:val="18"/>
                <w:szCs w:val="18"/>
              </w:rPr>
              <w:t>927</w:t>
            </w:r>
          </w:p>
        </w:tc>
      </w:tr>
    </w:tbl>
    <w:p w14:paraId="7AB7201C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5E57D72B" w14:textId="42E69BA3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Rakovník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2340C" w:rsidRPr="00F2340C" w14:paraId="70B9CE7D" w14:textId="77777777" w:rsidTr="00F2340C">
        <w:tc>
          <w:tcPr>
            <w:tcW w:w="2206" w:type="dxa"/>
            <w:vAlign w:val="center"/>
          </w:tcPr>
          <w:p w14:paraId="6AE67658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2656F320" w14:textId="24644414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Jaroslav Hamouz</w:t>
            </w:r>
          </w:p>
        </w:tc>
      </w:tr>
      <w:tr w:rsidR="00F2340C" w:rsidRPr="00F2340C" w14:paraId="1D694090" w14:textId="77777777" w:rsidTr="00F2340C">
        <w:tc>
          <w:tcPr>
            <w:tcW w:w="2206" w:type="dxa"/>
            <w:vAlign w:val="center"/>
          </w:tcPr>
          <w:p w14:paraId="233396A2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0D269D32" w14:textId="3C27A71C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Hamouz@spravazeleznic.cz</w:t>
            </w:r>
          </w:p>
        </w:tc>
      </w:tr>
      <w:tr w:rsidR="00F2340C" w:rsidRPr="00F2340C" w14:paraId="28C440D3" w14:textId="77777777" w:rsidTr="00F2340C">
        <w:tc>
          <w:tcPr>
            <w:tcW w:w="2206" w:type="dxa"/>
            <w:vAlign w:val="center"/>
          </w:tcPr>
          <w:p w14:paraId="69DE8D08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19D55901" w14:textId="31CDE557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972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023BF2">
              <w:rPr>
                <w:rFonts w:ascii="Verdana" w:hAnsi="Verdana"/>
                <w:sz w:val="18"/>
                <w:szCs w:val="18"/>
              </w:rPr>
              <w:t>251</w:t>
            </w:r>
            <w:r>
              <w:rPr>
                <w:rFonts w:ascii="Verdana" w:hAnsi="Verdana"/>
                <w:sz w:val="18"/>
                <w:szCs w:val="18"/>
              </w:rPr>
              <w:t xml:space="preserve"> 943 / 6</w:t>
            </w:r>
            <w:r w:rsidRPr="00023BF2">
              <w:rPr>
                <w:rFonts w:ascii="Verdana" w:hAnsi="Verdana"/>
                <w:sz w:val="18"/>
                <w:szCs w:val="18"/>
              </w:rPr>
              <w:t>06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023BF2">
              <w:rPr>
                <w:rFonts w:ascii="Verdana" w:hAnsi="Verdana"/>
                <w:sz w:val="18"/>
                <w:szCs w:val="18"/>
              </w:rPr>
              <w:t>725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23BF2">
              <w:rPr>
                <w:rFonts w:ascii="Verdana" w:hAnsi="Verdana"/>
                <w:sz w:val="18"/>
                <w:szCs w:val="18"/>
              </w:rPr>
              <w:t>190</w:t>
            </w:r>
          </w:p>
        </w:tc>
      </w:tr>
    </w:tbl>
    <w:p w14:paraId="0BF7A0BE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35DE5471" w14:textId="410B0880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Mladá Boleslav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F2340C" w:rsidRPr="00F2340C" w14:paraId="7A61EF97" w14:textId="77777777" w:rsidTr="00F2340C">
        <w:tc>
          <w:tcPr>
            <w:tcW w:w="2206" w:type="dxa"/>
            <w:vAlign w:val="center"/>
          </w:tcPr>
          <w:p w14:paraId="2D5A4E77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C80F5C8" w14:textId="42F43A2C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Jindřich Bígl</w:t>
            </w:r>
          </w:p>
        </w:tc>
      </w:tr>
      <w:tr w:rsidR="00F2340C" w:rsidRPr="00F2340C" w14:paraId="1E57C4C6" w14:textId="77777777" w:rsidTr="00F2340C">
        <w:tc>
          <w:tcPr>
            <w:tcW w:w="2206" w:type="dxa"/>
            <w:vAlign w:val="center"/>
          </w:tcPr>
          <w:p w14:paraId="1A317077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75B43B67" w14:textId="3EBF31EA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Bigl@spravazeleznic.cz</w:t>
            </w:r>
          </w:p>
        </w:tc>
      </w:tr>
      <w:tr w:rsidR="00F2340C" w:rsidRPr="00F2340C" w14:paraId="6F928A88" w14:textId="77777777" w:rsidTr="00F2340C">
        <w:tc>
          <w:tcPr>
            <w:tcW w:w="2206" w:type="dxa"/>
            <w:vAlign w:val="center"/>
          </w:tcPr>
          <w:p w14:paraId="28249834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1EEFC62E" w14:textId="0C4B7254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023BF2">
              <w:rPr>
                <w:rFonts w:ascii="Verdana" w:hAnsi="Verdana"/>
                <w:sz w:val="18"/>
                <w:szCs w:val="18"/>
              </w:rPr>
              <w:t>54</w:t>
            </w:r>
            <w:r>
              <w:rPr>
                <w:rFonts w:ascii="Verdana" w:hAnsi="Verdana"/>
                <w:sz w:val="18"/>
                <w:szCs w:val="18"/>
              </w:rPr>
              <w:t xml:space="preserve"> 469 / </w:t>
            </w:r>
            <w:r w:rsidRPr="00023BF2">
              <w:rPr>
                <w:rFonts w:ascii="Verdana" w:hAnsi="Verdana"/>
                <w:sz w:val="18"/>
                <w:szCs w:val="18"/>
              </w:rPr>
              <w:t>725 712 673</w:t>
            </w:r>
          </w:p>
        </w:tc>
      </w:tr>
    </w:tbl>
    <w:p w14:paraId="63D9699B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26B55639" w14:textId="3859A6AE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Všetaty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2340C" w:rsidRPr="00F2340C" w14:paraId="0E589805" w14:textId="77777777" w:rsidTr="00F2340C">
        <w:tc>
          <w:tcPr>
            <w:tcW w:w="2206" w:type="dxa"/>
            <w:vAlign w:val="center"/>
          </w:tcPr>
          <w:p w14:paraId="15B9864D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0961F74A" w14:textId="2125EEA9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Aleš Klíma</w:t>
            </w:r>
          </w:p>
        </w:tc>
      </w:tr>
      <w:tr w:rsidR="00F2340C" w:rsidRPr="00F2340C" w14:paraId="3625B909" w14:textId="77777777" w:rsidTr="00F2340C">
        <w:tc>
          <w:tcPr>
            <w:tcW w:w="2206" w:type="dxa"/>
            <w:vAlign w:val="center"/>
          </w:tcPr>
          <w:p w14:paraId="77CCABE3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01EB2CE3" w14:textId="4640E233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KlimaA@spravazeleznic.cz</w:t>
            </w:r>
          </w:p>
        </w:tc>
      </w:tr>
      <w:tr w:rsidR="00F2340C" w:rsidRPr="00F2340C" w14:paraId="58D8CD64" w14:textId="77777777" w:rsidTr="00F2340C">
        <w:tc>
          <w:tcPr>
            <w:tcW w:w="2206" w:type="dxa"/>
            <w:vAlign w:val="center"/>
          </w:tcPr>
          <w:p w14:paraId="60386D6E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6FCAF9A9" w14:textId="7673D5DF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023BF2">
              <w:rPr>
                <w:rFonts w:ascii="Verdana" w:hAnsi="Verdana"/>
                <w:sz w:val="18"/>
                <w:szCs w:val="18"/>
              </w:rPr>
              <w:t>56</w:t>
            </w:r>
            <w:r>
              <w:rPr>
                <w:rFonts w:ascii="Verdana" w:hAnsi="Verdana"/>
                <w:sz w:val="18"/>
                <w:szCs w:val="18"/>
              </w:rPr>
              <w:t xml:space="preserve"> 489 / </w:t>
            </w:r>
            <w:r w:rsidRPr="00023BF2">
              <w:rPr>
                <w:rFonts w:ascii="Verdana" w:hAnsi="Verdana"/>
                <w:sz w:val="18"/>
                <w:szCs w:val="18"/>
              </w:rPr>
              <w:t>725 712 675</w:t>
            </w:r>
          </w:p>
        </w:tc>
      </w:tr>
    </w:tbl>
    <w:p w14:paraId="104C5F0E" w14:textId="6A55496A" w:rsid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64EE678F" w14:textId="283B4DCA" w:rsidR="00023BF2" w:rsidRDefault="00023BF2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0623FBD4" w14:textId="77777777" w:rsidR="00023BF2" w:rsidRPr="00F2340C" w:rsidRDefault="00023BF2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5CE75AE0" w14:textId="6A05918E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lastRenderedPageBreak/>
        <w:t>stavební dozor za TO Lysá n. Labem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F2340C" w:rsidRPr="00F2340C" w14:paraId="228D9808" w14:textId="77777777" w:rsidTr="00F2340C">
        <w:tc>
          <w:tcPr>
            <w:tcW w:w="2206" w:type="dxa"/>
            <w:vAlign w:val="center"/>
          </w:tcPr>
          <w:p w14:paraId="32962575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4527CA6D" w14:textId="1595006B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Jaroslav Eichler</w:t>
            </w:r>
          </w:p>
        </w:tc>
      </w:tr>
      <w:tr w:rsidR="00F2340C" w:rsidRPr="00F2340C" w14:paraId="5E1C24A1" w14:textId="77777777" w:rsidTr="00F2340C">
        <w:tc>
          <w:tcPr>
            <w:tcW w:w="2206" w:type="dxa"/>
            <w:vAlign w:val="center"/>
          </w:tcPr>
          <w:p w14:paraId="2D0E3BFB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161FD431" w14:textId="5E49D3C0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EichlerJa@spravazeleznic.cz</w:t>
            </w:r>
          </w:p>
        </w:tc>
      </w:tr>
      <w:tr w:rsidR="00F2340C" w:rsidRPr="00F2340C" w14:paraId="302349ED" w14:textId="77777777" w:rsidTr="00F2340C">
        <w:tc>
          <w:tcPr>
            <w:tcW w:w="2206" w:type="dxa"/>
            <w:vAlign w:val="center"/>
          </w:tcPr>
          <w:p w14:paraId="78B6239B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7E80D975" w14:textId="7891082B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972 255 870 / </w:t>
            </w:r>
            <w:r w:rsidRPr="00023BF2">
              <w:rPr>
                <w:rFonts w:ascii="Verdana" w:hAnsi="Verdana"/>
                <w:sz w:val="18"/>
                <w:szCs w:val="18"/>
              </w:rPr>
              <w:t>725 547 695</w:t>
            </w:r>
          </w:p>
        </w:tc>
      </w:tr>
    </w:tbl>
    <w:p w14:paraId="54D7DCA4" w14:textId="77777777" w:rsidR="00F2340C" w:rsidRPr="00F2340C" w:rsidRDefault="00F2340C" w:rsidP="00F2340C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78386DB8" w14:textId="4E983EA5" w:rsidR="00F2340C" w:rsidRPr="00F2340C" w:rsidRDefault="00023BF2" w:rsidP="00F2340C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Nymburk</w:t>
      </w:r>
      <w:r w:rsidR="00F2340C" w:rsidRPr="00F2340C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F2340C" w:rsidRPr="00F2340C" w14:paraId="6A1F5982" w14:textId="77777777" w:rsidTr="00F2340C">
        <w:tc>
          <w:tcPr>
            <w:tcW w:w="2206" w:type="dxa"/>
            <w:vAlign w:val="center"/>
          </w:tcPr>
          <w:p w14:paraId="27D62C7F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5E75D954" w14:textId="4F8C91C7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Tomáš Mjalovský</w:t>
            </w:r>
          </w:p>
        </w:tc>
      </w:tr>
      <w:tr w:rsidR="00F2340C" w:rsidRPr="00F2340C" w14:paraId="3C29F4EC" w14:textId="77777777" w:rsidTr="00F2340C">
        <w:tc>
          <w:tcPr>
            <w:tcW w:w="2206" w:type="dxa"/>
            <w:vAlign w:val="center"/>
          </w:tcPr>
          <w:p w14:paraId="4FB9C2F1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247874EA" w14:textId="55B01870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Mjalovsky@spravazeleznic.cz</w:t>
            </w:r>
          </w:p>
        </w:tc>
      </w:tr>
      <w:tr w:rsidR="00F2340C" w:rsidRPr="00F2340C" w14:paraId="524FA7AE" w14:textId="77777777" w:rsidTr="00F2340C">
        <w:tc>
          <w:tcPr>
            <w:tcW w:w="2206" w:type="dxa"/>
            <w:vAlign w:val="center"/>
          </w:tcPr>
          <w:p w14:paraId="30A5D940" w14:textId="77777777" w:rsidR="00F2340C" w:rsidRPr="00F2340C" w:rsidRDefault="00F2340C" w:rsidP="00F2340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340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658C4C15" w14:textId="330E3D01" w:rsidR="00F2340C" w:rsidRPr="00F2340C" w:rsidRDefault="00023BF2" w:rsidP="00F2340C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023BF2">
              <w:rPr>
                <w:rFonts w:ascii="Verdana" w:hAnsi="Verdana"/>
                <w:sz w:val="18"/>
                <w:szCs w:val="18"/>
              </w:rPr>
              <w:t>55</w:t>
            </w:r>
            <w:r>
              <w:rPr>
                <w:rFonts w:ascii="Verdana" w:hAnsi="Verdana"/>
                <w:sz w:val="18"/>
                <w:szCs w:val="18"/>
              </w:rPr>
              <w:t xml:space="preserve"> 474 / </w:t>
            </w:r>
            <w:r w:rsidRPr="00023BF2">
              <w:rPr>
                <w:rFonts w:ascii="Verdana" w:hAnsi="Verdana"/>
                <w:sz w:val="18"/>
                <w:szCs w:val="18"/>
              </w:rPr>
              <w:t>724 540 530</w:t>
            </w:r>
          </w:p>
        </w:tc>
      </w:tr>
    </w:tbl>
    <w:p w14:paraId="05BC9783" w14:textId="77777777" w:rsidR="00023BF2" w:rsidRP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2F0D3756" w14:textId="335C7F11" w:rsidR="00023BF2" w:rsidRPr="00023BF2" w:rsidRDefault="00023BF2" w:rsidP="00023BF2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stavební dozor za TO Český Brod</w:t>
      </w: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023BF2" w:rsidRPr="00023BF2" w14:paraId="38E9D79A" w14:textId="77777777" w:rsidTr="000D74C5">
        <w:tc>
          <w:tcPr>
            <w:tcW w:w="2206" w:type="dxa"/>
            <w:vAlign w:val="center"/>
          </w:tcPr>
          <w:p w14:paraId="2910A14E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E08F69D" w14:textId="65684085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Petr Vichera</w:t>
            </w:r>
          </w:p>
        </w:tc>
      </w:tr>
      <w:tr w:rsidR="00023BF2" w:rsidRPr="00023BF2" w14:paraId="1122C2C8" w14:textId="77777777" w:rsidTr="000D74C5">
        <w:tc>
          <w:tcPr>
            <w:tcW w:w="2206" w:type="dxa"/>
            <w:vAlign w:val="center"/>
          </w:tcPr>
          <w:p w14:paraId="7E00FE71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072E2A8B" w14:textId="7E8F0D48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Vichera@spravazeleznic.cz</w:t>
            </w:r>
          </w:p>
        </w:tc>
      </w:tr>
      <w:tr w:rsidR="00023BF2" w:rsidRPr="00023BF2" w14:paraId="4142A213" w14:textId="77777777" w:rsidTr="000D74C5">
        <w:tc>
          <w:tcPr>
            <w:tcW w:w="2206" w:type="dxa"/>
            <w:vAlign w:val="center"/>
          </w:tcPr>
          <w:p w14:paraId="7D97338A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2CA140E0" w14:textId="4C0D3F3D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023BF2">
              <w:rPr>
                <w:rFonts w:ascii="Verdana" w:hAnsi="Verdana"/>
                <w:sz w:val="18"/>
                <w:szCs w:val="18"/>
              </w:rPr>
              <w:t>27</w:t>
            </w:r>
            <w:r>
              <w:rPr>
                <w:rFonts w:ascii="Verdana" w:hAnsi="Verdana"/>
                <w:sz w:val="18"/>
                <w:szCs w:val="18"/>
              </w:rPr>
              <w:t> 703 /</w:t>
            </w:r>
            <w:r w:rsidRPr="00023BF2">
              <w:rPr>
                <w:rFonts w:ascii="Verdana" w:hAnsi="Verdana"/>
                <w:sz w:val="18"/>
                <w:szCs w:val="18"/>
              </w:rPr>
              <w:t xml:space="preserve"> 724 509 216</w:t>
            </w:r>
          </w:p>
        </w:tc>
      </w:tr>
    </w:tbl>
    <w:p w14:paraId="34507E6E" w14:textId="77777777" w:rsidR="00023BF2" w:rsidRP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0F0F1F66" w14:textId="3ED94E4A" w:rsidR="00023BF2" w:rsidRPr="00023BF2" w:rsidRDefault="00023BF2" w:rsidP="00023BF2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stavební dozor za TO </w:t>
      </w: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Kolín</w:t>
      </w: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023BF2" w:rsidRPr="00023BF2" w14:paraId="1376F857" w14:textId="77777777" w:rsidTr="000D74C5">
        <w:tc>
          <w:tcPr>
            <w:tcW w:w="2206" w:type="dxa"/>
            <w:vAlign w:val="center"/>
          </w:tcPr>
          <w:p w14:paraId="523452F0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3C5E9495" w14:textId="428DD49C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Zdeněk Krejčík</w:t>
            </w:r>
          </w:p>
        </w:tc>
      </w:tr>
      <w:tr w:rsidR="00023BF2" w:rsidRPr="00023BF2" w14:paraId="4C4856AE" w14:textId="77777777" w:rsidTr="000D74C5">
        <w:tc>
          <w:tcPr>
            <w:tcW w:w="2206" w:type="dxa"/>
            <w:vAlign w:val="center"/>
          </w:tcPr>
          <w:p w14:paraId="5621DDC6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6C45C94C" w14:textId="34DB02E5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23BF2">
              <w:rPr>
                <w:rFonts w:ascii="Verdana" w:hAnsi="Verdana"/>
                <w:sz w:val="18"/>
                <w:szCs w:val="18"/>
              </w:rPr>
              <w:t>KrejcikZ@spravazeleznic.cz</w:t>
            </w:r>
          </w:p>
        </w:tc>
      </w:tr>
      <w:tr w:rsidR="00023BF2" w:rsidRPr="00023BF2" w14:paraId="590C607C" w14:textId="77777777" w:rsidTr="000D74C5">
        <w:tc>
          <w:tcPr>
            <w:tcW w:w="2206" w:type="dxa"/>
            <w:vAlign w:val="center"/>
          </w:tcPr>
          <w:p w14:paraId="0E32249C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34B32E84" w14:textId="226A50A9" w:rsidR="00023BF2" w:rsidRPr="00023BF2" w:rsidRDefault="00023BF2" w:rsidP="00023B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023BF2">
              <w:rPr>
                <w:rFonts w:ascii="Verdana" w:hAnsi="Verdana"/>
                <w:sz w:val="18"/>
                <w:szCs w:val="18"/>
              </w:rPr>
              <w:t>53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23BF2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 xml:space="preserve">77 / </w:t>
            </w:r>
            <w:r w:rsidRPr="00023BF2">
              <w:rPr>
                <w:rFonts w:ascii="Verdana" w:hAnsi="Verdana"/>
                <w:sz w:val="18"/>
                <w:szCs w:val="18"/>
              </w:rPr>
              <w:t>725 544 459</w:t>
            </w:r>
          </w:p>
        </w:tc>
      </w:tr>
    </w:tbl>
    <w:p w14:paraId="76A27CD3" w14:textId="77777777" w:rsidR="00023BF2" w:rsidRP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4ADE496A" w14:textId="4DFEDE74" w:rsidR="00023BF2" w:rsidRPr="00023BF2" w:rsidRDefault="00023BF2" w:rsidP="00023BF2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stavební dozor za TO </w:t>
      </w:r>
      <w:r w:rsidR="00B11BB7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Velim</w:t>
      </w: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023BF2" w:rsidRPr="00023BF2" w14:paraId="327C3F3C" w14:textId="77777777" w:rsidTr="000D74C5">
        <w:tc>
          <w:tcPr>
            <w:tcW w:w="2206" w:type="dxa"/>
            <w:vAlign w:val="center"/>
          </w:tcPr>
          <w:p w14:paraId="4CB35594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16E6E217" w14:textId="2789F9DC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Miroslav Linhart</w:t>
            </w:r>
          </w:p>
        </w:tc>
      </w:tr>
      <w:tr w:rsidR="00023BF2" w:rsidRPr="00023BF2" w14:paraId="62A56123" w14:textId="77777777" w:rsidTr="000D74C5">
        <w:tc>
          <w:tcPr>
            <w:tcW w:w="2206" w:type="dxa"/>
            <w:vAlign w:val="center"/>
          </w:tcPr>
          <w:p w14:paraId="6392A115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0B3A9CFE" w14:textId="1E96CA19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11BB7">
              <w:rPr>
                <w:rFonts w:ascii="Verdana" w:hAnsi="Verdana"/>
                <w:sz w:val="18"/>
                <w:szCs w:val="18"/>
              </w:rPr>
              <w:t>LinhartM@spravazeleznic.cz</w:t>
            </w:r>
          </w:p>
        </w:tc>
      </w:tr>
      <w:tr w:rsidR="00023BF2" w:rsidRPr="00023BF2" w14:paraId="1AD552F7" w14:textId="77777777" w:rsidTr="000D74C5">
        <w:tc>
          <w:tcPr>
            <w:tcW w:w="2206" w:type="dxa"/>
            <w:vAlign w:val="center"/>
          </w:tcPr>
          <w:p w14:paraId="7D8C63A3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0DD761F3" w14:textId="4468C94F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B11BB7">
              <w:rPr>
                <w:rFonts w:ascii="Verdana" w:hAnsi="Verdana"/>
                <w:sz w:val="18"/>
                <w:szCs w:val="18"/>
              </w:rPr>
              <w:t>53</w:t>
            </w:r>
            <w:r>
              <w:rPr>
                <w:rFonts w:ascii="Verdana" w:hAnsi="Verdana"/>
                <w:sz w:val="18"/>
                <w:szCs w:val="18"/>
              </w:rPr>
              <w:t> 384 /</w:t>
            </w:r>
            <w:r w:rsidRPr="00B11BB7">
              <w:rPr>
                <w:rFonts w:ascii="Verdana" w:hAnsi="Verdana"/>
                <w:sz w:val="18"/>
                <w:szCs w:val="18"/>
              </w:rPr>
              <w:t xml:space="preserve"> 725 585 668</w:t>
            </w:r>
          </w:p>
        </w:tc>
      </w:tr>
    </w:tbl>
    <w:p w14:paraId="04DC7D3D" w14:textId="77777777" w:rsidR="00023BF2" w:rsidRP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19BD46C8" w14:textId="21F20084" w:rsidR="00023BF2" w:rsidRPr="00023BF2" w:rsidRDefault="00023BF2" w:rsidP="00023BF2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stavební dozor za </w:t>
      </w:r>
      <w:r w:rsidR="00B11BB7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TO Kutná Hora</w:t>
      </w: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023BF2" w:rsidRPr="00023BF2" w14:paraId="2A29876A" w14:textId="77777777" w:rsidTr="000D74C5">
        <w:tc>
          <w:tcPr>
            <w:tcW w:w="2206" w:type="dxa"/>
            <w:vAlign w:val="center"/>
          </w:tcPr>
          <w:p w14:paraId="0D513449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F4F8EE3" w14:textId="4E08CC82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Karel Zajíc</w:t>
            </w:r>
          </w:p>
        </w:tc>
      </w:tr>
      <w:tr w:rsidR="00023BF2" w:rsidRPr="00023BF2" w14:paraId="35B4289C" w14:textId="77777777" w:rsidTr="000D74C5">
        <w:tc>
          <w:tcPr>
            <w:tcW w:w="2206" w:type="dxa"/>
            <w:vAlign w:val="center"/>
          </w:tcPr>
          <w:p w14:paraId="163CA52F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2F99ADFA" w14:textId="5B17311B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11BB7">
              <w:rPr>
                <w:rFonts w:ascii="Verdana" w:hAnsi="Verdana"/>
                <w:sz w:val="18"/>
                <w:szCs w:val="18"/>
              </w:rPr>
              <w:t>ZajicKa@spravazeleznic.cz</w:t>
            </w:r>
          </w:p>
        </w:tc>
      </w:tr>
      <w:tr w:rsidR="00023BF2" w:rsidRPr="00023BF2" w14:paraId="375CB110" w14:textId="77777777" w:rsidTr="000D74C5">
        <w:tc>
          <w:tcPr>
            <w:tcW w:w="2206" w:type="dxa"/>
            <w:vAlign w:val="center"/>
          </w:tcPr>
          <w:p w14:paraId="5B86CBE0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5D483D18" w14:textId="243ADAF4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972 2</w:t>
            </w:r>
            <w:r w:rsidRPr="00B11BB7">
              <w:rPr>
                <w:rFonts w:ascii="Verdana" w:hAnsi="Verdana"/>
                <w:sz w:val="18"/>
                <w:szCs w:val="18"/>
              </w:rPr>
              <w:t>53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B11BB7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23 /</w:t>
            </w:r>
            <w:r w:rsidRPr="00B11BB7">
              <w:rPr>
                <w:rFonts w:ascii="Verdana" w:hAnsi="Verdana"/>
                <w:sz w:val="18"/>
                <w:szCs w:val="18"/>
              </w:rPr>
              <w:t>725 042 110</w:t>
            </w:r>
          </w:p>
        </w:tc>
      </w:tr>
    </w:tbl>
    <w:p w14:paraId="7A018980" w14:textId="0AC7E4BA" w:rsid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319E72F6" w14:textId="69E6306D" w:rsid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3EDCB4B7" w14:textId="77777777" w:rsidR="00023BF2" w:rsidRPr="00023BF2" w:rsidRDefault="00023BF2" w:rsidP="00023BF2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2804F9C6" w14:textId="3E86DB70" w:rsidR="00023BF2" w:rsidRPr="00023BF2" w:rsidRDefault="00023BF2" w:rsidP="00023BF2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lastRenderedPageBreak/>
        <w:t xml:space="preserve">stavební dozor za TO </w:t>
      </w:r>
      <w:r w:rsidR="00B11BB7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Kácov</w:t>
      </w:r>
      <w:r w:rsidRPr="00023BF2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023BF2" w:rsidRPr="00023BF2" w14:paraId="552BFE8A" w14:textId="77777777" w:rsidTr="000D74C5">
        <w:tc>
          <w:tcPr>
            <w:tcW w:w="2206" w:type="dxa"/>
            <w:vAlign w:val="center"/>
          </w:tcPr>
          <w:p w14:paraId="61EEE796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25374A59" w14:textId="0372D246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Petr Smolík</w:t>
            </w:r>
          </w:p>
        </w:tc>
      </w:tr>
      <w:tr w:rsidR="00023BF2" w:rsidRPr="00023BF2" w14:paraId="1865E156" w14:textId="77777777" w:rsidTr="000D74C5">
        <w:tc>
          <w:tcPr>
            <w:tcW w:w="2206" w:type="dxa"/>
            <w:vAlign w:val="center"/>
          </w:tcPr>
          <w:p w14:paraId="13D0D58B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4D9CEE11" w14:textId="0681F2A9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11BB7">
              <w:rPr>
                <w:rFonts w:ascii="Verdana" w:hAnsi="Verdana"/>
                <w:sz w:val="18"/>
                <w:szCs w:val="18"/>
              </w:rPr>
              <w:t>SmolikP@spravazeleznic.cz</w:t>
            </w:r>
          </w:p>
        </w:tc>
      </w:tr>
      <w:tr w:rsidR="00023BF2" w:rsidRPr="00023BF2" w14:paraId="5583E613" w14:textId="77777777" w:rsidTr="000D74C5">
        <w:tc>
          <w:tcPr>
            <w:tcW w:w="2206" w:type="dxa"/>
            <w:vAlign w:val="center"/>
          </w:tcPr>
          <w:p w14:paraId="17826DF2" w14:textId="77777777" w:rsidR="00023BF2" w:rsidRPr="00023BF2" w:rsidRDefault="00023BF2" w:rsidP="00023BF2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023BF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01C09E41" w14:textId="729B765D" w:rsidR="00023BF2" w:rsidRPr="00023BF2" w:rsidRDefault="00B11BB7" w:rsidP="00023BF2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327 324 607 / </w:t>
            </w:r>
            <w:r w:rsidRPr="00B11BB7">
              <w:rPr>
                <w:rFonts w:ascii="Verdana" w:hAnsi="Verdana"/>
                <w:sz w:val="18"/>
                <w:szCs w:val="18"/>
              </w:rPr>
              <w:t>602 487 561</w:t>
            </w:r>
          </w:p>
        </w:tc>
      </w:tr>
    </w:tbl>
    <w:p w14:paraId="3F5C3606" w14:textId="77777777" w:rsidR="00F2340C" w:rsidRDefault="00F2340C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14:paraId="45F1DEB7" w14:textId="77777777" w:rsidR="00B11BB7" w:rsidRDefault="00B11BB7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5ED824FB" w14:textId="397483D2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lastRenderedPageBreak/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6CEAC22" w14:textId="1081D5D3" w:rsidR="00B11BB7" w:rsidRPr="00B11BB7" w:rsidRDefault="00B11BB7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zástupce </w:t>
      </w:r>
      <w:r w:rsidRPr="00B11BB7">
        <w:rPr>
          <w:rFonts w:ascii="Verdana" w:hAnsi="Verdana"/>
          <w:sz w:val="18"/>
          <w:szCs w:val="18"/>
        </w:rPr>
        <w:t>stavbyvedoucí</w:t>
      </w:r>
      <w:r>
        <w:rPr>
          <w:rFonts w:ascii="Verdana" w:hAnsi="Verdana"/>
          <w:sz w:val="18"/>
          <w:szCs w:val="18"/>
        </w:rPr>
        <w:t>ho</w:t>
      </w:r>
      <w:r w:rsidRPr="00B11BB7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11BB7" w:rsidRPr="00B11BB7" w14:paraId="3CE2D210" w14:textId="77777777" w:rsidTr="000D74C5">
        <w:tc>
          <w:tcPr>
            <w:tcW w:w="2206" w:type="dxa"/>
            <w:vAlign w:val="center"/>
          </w:tcPr>
          <w:p w14:paraId="51AE82F2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E25BA7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14:paraId="41B85974" w14:textId="77777777" w:rsidTr="000D74C5">
        <w:tc>
          <w:tcPr>
            <w:tcW w:w="2206" w:type="dxa"/>
            <w:vAlign w:val="center"/>
          </w:tcPr>
          <w:p w14:paraId="64A172B9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20BB04EA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14:paraId="14450F3E" w14:textId="77777777" w:rsidTr="000D74C5">
        <w:tc>
          <w:tcPr>
            <w:tcW w:w="2206" w:type="dxa"/>
            <w:vAlign w:val="center"/>
          </w:tcPr>
          <w:p w14:paraId="584C85D0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AB67221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14:paraId="78CB9050" w14:textId="77777777" w:rsidTr="000D74C5">
        <w:tc>
          <w:tcPr>
            <w:tcW w:w="2206" w:type="dxa"/>
            <w:vAlign w:val="center"/>
          </w:tcPr>
          <w:p w14:paraId="38667A4B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E6E4EA3" w14:textId="77777777" w:rsidR="00B11BB7" w:rsidRPr="00B11BB7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4AD8E8FF" w14:textId="2347B9A8" w:rsidR="00B11BB7" w:rsidRPr="00B11BB7" w:rsidRDefault="00B11BB7" w:rsidP="00B11BB7">
      <w:pPr>
        <w:pStyle w:val="Odstavecseseznamem"/>
        <w:numPr>
          <w:ilvl w:val="0"/>
          <w:numId w:val="58"/>
        </w:numPr>
        <w:spacing w:before="240" w:after="120" w:line="300" w:lineRule="exact"/>
        <w:ind w:left="426" w:hanging="502"/>
        <w:rPr>
          <w:rFonts w:ascii="Verdana" w:hAnsi="Verdana"/>
          <w:sz w:val="18"/>
          <w:szCs w:val="18"/>
        </w:rPr>
      </w:pPr>
      <w:r w:rsidRPr="00B11BB7">
        <w:rPr>
          <w:rFonts w:ascii="Verdana" w:hAnsi="Verdana"/>
          <w:bCs/>
          <w:sz w:val="18"/>
          <w:szCs w:val="18"/>
        </w:rPr>
        <w:t>specialista na železniční svršek a spodek 1</w:t>
      </w:r>
      <w:r>
        <w:rPr>
          <w:rFonts w:ascii="Verdana" w:hAnsi="Verdana"/>
          <w:bCs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60D4D0E" w14:textId="781DCA56" w:rsidR="00B11BB7" w:rsidRPr="00B11BB7" w:rsidRDefault="00B11BB7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B11BB7">
        <w:rPr>
          <w:rFonts w:ascii="Verdana" w:hAnsi="Verdana"/>
          <w:bCs/>
          <w:sz w:val="18"/>
          <w:szCs w:val="18"/>
        </w:rPr>
        <w:t>specialista na železniční svršek a spodek</w:t>
      </w:r>
      <w:r>
        <w:rPr>
          <w:rFonts w:ascii="Verdana" w:hAnsi="Verdana"/>
          <w:bCs/>
          <w:sz w:val="18"/>
          <w:szCs w:val="18"/>
        </w:rPr>
        <w:t xml:space="preserve"> 2: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03508D2" w14:textId="7BE2AA75" w:rsidR="00B11BB7" w:rsidRPr="00B11BB7" w:rsidRDefault="00B11BB7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B11BB7">
        <w:rPr>
          <w:rFonts w:ascii="Verdana" w:hAnsi="Verdana"/>
          <w:bCs/>
          <w:sz w:val="18"/>
          <w:szCs w:val="18"/>
        </w:rPr>
        <w:t>specialista na železniční svršek a spodek 3: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3F726B" w14:textId="668825BF" w:rsidR="00B11BB7" w:rsidRPr="00B11BB7" w:rsidRDefault="00B11BB7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B11BB7">
        <w:rPr>
          <w:rFonts w:ascii="Verdana" w:hAnsi="Verdana"/>
          <w:bCs/>
          <w:sz w:val="18"/>
          <w:szCs w:val="18"/>
        </w:rPr>
        <w:t>specialista na železniční svršek a spodek 4: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68C27D" w14:textId="7C12BFC3" w:rsidR="00B11BB7" w:rsidRPr="00B11BB7" w:rsidRDefault="00BD3D28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specialista </w:t>
      </w:r>
      <w:r w:rsidR="00B11BB7" w:rsidRPr="00B11BB7">
        <w:rPr>
          <w:rFonts w:ascii="Verdana" w:hAnsi="Verdana"/>
          <w:bCs/>
          <w:sz w:val="18"/>
          <w:szCs w:val="18"/>
        </w:rPr>
        <w:t>geologických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86D9F71" w14:textId="42B89485" w:rsidR="00B11BB7" w:rsidRPr="00BD3D28" w:rsidRDefault="00BD3D28" w:rsidP="00BD3D28">
      <w:pPr>
        <w:numPr>
          <w:ilvl w:val="0"/>
          <w:numId w:val="58"/>
        </w:numPr>
        <w:spacing w:before="240" w:after="120" w:line="300" w:lineRule="exac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zástupce specialisty </w:t>
      </w:r>
      <w:r w:rsidR="00B11BB7" w:rsidRPr="00BD3D28">
        <w:rPr>
          <w:rFonts w:ascii="Verdana" w:hAnsi="Verdana"/>
          <w:bCs/>
          <w:sz w:val="18"/>
          <w:szCs w:val="18"/>
        </w:rPr>
        <w:t>geologických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11BB7" w:rsidRPr="00B11BB7" w:rsidDel="00B11F3F" w14:paraId="3E0FBDC4" w14:textId="77777777" w:rsidTr="000D74C5">
        <w:tc>
          <w:tcPr>
            <w:tcW w:w="2206" w:type="dxa"/>
            <w:vAlign w:val="center"/>
          </w:tcPr>
          <w:p w14:paraId="2650E085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C224F0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4FFB0290" w14:textId="77777777" w:rsidTr="000D74C5">
        <w:tc>
          <w:tcPr>
            <w:tcW w:w="2206" w:type="dxa"/>
            <w:vAlign w:val="center"/>
          </w:tcPr>
          <w:p w14:paraId="7CEFD2FA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177DCBAA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4AEC1545" w14:textId="77777777" w:rsidTr="000D74C5">
        <w:tc>
          <w:tcPr>
            <w:tcW w:w="2206" w:type="dxa"/>
            <w:vAlign w:val="center"/>
          </w:tcPr>
          <w:p w14:paraId="6B9E24ED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2CFB9767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2FE4D856" w14:textId="77777777" w:rsidTr="000D74C5">
        <w:tc>
          <w:tcPr>
            <w:tcW w:w="2206" w:type="dxa"/>
            <w:vAlign w:val="center"/>
          </w:tcPr>
          <w:p w14:paraId="5DF8E383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303D0490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5481E28D" w14:textId="10DB3EE8" w:rsidR="00B11BB7" w:rsidRPr="00B11BB7" w:rsidRDefault="00BD3D28" w:rsidP="00B11BB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specialista P</w:t>
      </w:r>
      <w:r w:rsidR="00B11BB7" w:rsidRPr="00B11BB7">
        <w:rPr>
          <w:rFonts w:ascii="Verdana" w:hAnsi="Verdana"/>
          <w:bCs/>
          <w:sz w:val="18"/>
          <w:szCs w:val="18"/>
        </w:rPr>
        <w:t>rojektant v oboru geotechnika: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11BB7" w:rsidRPr="00B11BB7" w:rsidDel="00B11F3F" w14:paraId="24A38591" w14:textId="77777777" w:rsidTr="000D74C5">
        <w:tc>
          <w:tcPr>
            <w:tcW w:w="2206" w:type="dxa"/>
            <w:vAlign w:val="center"/>
          </w:tcPr>
          <w:p w14:paraId="669087C1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1B4EAE0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02E82794" w14:textId="77777777" w:rsidTr="000D74C5">
        <w:tc>
          <w:tcPr>
            <w:tcW w:w="2206" w:type="dxa"/>
            <w:vAlign w:val="center"/>
          </w:tcPr>
          <w:p w14:paraId="3047DE9F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50345686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5B706BD1" w14:textId="77777777" w:rsidTr="000D74C5">
        <w:tc>
          <w:tcPr>
            <w:tcW w:w="2206" w:type="dxa"/>
            <w:vAlign w:val="center"/>
          </w:tcPr>
          <w:p w14:paraId="1F430487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9116584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B11BB7" w:rsidRPr="00B11BB7" w:rsidDel="00B11F3F" w14:paraId="6EEF154A" w14:textId="77777777" w:rsidTr="000D74C5">
        <w:tc>
          <w:tcPr>
            <w:tcW w:w="2206" w:type="dxa"/>
            <w:vAlign w:val="center"/>
          </w:tcPr>
          <w:p w14:paraId="02E51C3A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2A7894BE" w14:textId="77777777" w:rsidR="00B11BB7" w:rsidRPr="00B11BB7" w:rsidDel="00B11F3F" w:rsidRDefault="00B11BB7" w:rsidP="00B11BB7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B11BB7" w:rsidDel="00B11F3F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7AAE78B0" w14:textId="2087C4FC" w:rsidR="0022687B" w:rsidRPr="003506DD" w:rsidRDefault="0022687B" w:rsidP="00B11BB7">
      <w:pPr>
        <w:pStyle w:val="Nadpis9"/>
        <w:keepNext w:val="0"/>
        <w:keepLines w:val="0"/>
        <w:numPr>
          <w:ilvl w:val="0"/>
          <w:numId w:val="58"/>
        </w:numPr>
        <w:tabs>
          <w:tab w:val="left" w:pos="4395"/>
        </w:tabs>
        <w:spacing w:before="240" w:after="120" w:line="280" w:lineRule="atLeast"/>
        <w:ind w:left="567" w:hanging="502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3506DD">
        <w:rPr>
          <w:rFonts w:ascii="Verdana" w:hAnsi="Verdana" w:cs="Calibri"/>
          <w:i w:val="0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9"/>
          <w:footerReference w:type="default" r:id="rId2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31B2" w14:textId="77777777" w:rsidR="00737EE6" w:rsidRDefault="00737EE6" w:rsidP="003706CB">
      <w:pPr>
        <w:spacing w:after="0" w:line="240" w:lineRule="auto"/>
      </w:pPr>
      <w:r>
        <w:separator/>
      </w:r>
    </w:p>
  </w:endnote>
  <w:endnote w:type="continuationSeparator" w:id="0">
    <w:p w14:paraId="29446046" w14:textId="77777777" w:rsidR="00737EE6" w:rsidRDefault="00737EE6" w:rsidP="003706CB">
      <w:pPr>
        <w:spacing w:after="0" w:line="240" w:lineRule="auto"/>
      </w:pPr>
      <w:r>
        <w:continuationSeparator/>
      </w:r>
    </w:p>
  </w:endnote>
  <w:endnote w:type="continuationNotice" w:id="1">
    <w:p w14:paraId="678A4C16" w14:textId="77777777" w:rsidR="00737EE6" w:rsidRDefault="00737E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22892F72" w:rsidR="000D74C5" w:rsidRDefault="000D74C5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D5A40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D5A40">
      <w:rPr>
        <w:rFonts w:ascii="Verdana" w:eastAsia="Verdana" w:hAnsi="Verdana"/>
        <w:b/>
        <w:noProof/>
        <w:color w:val="FF5200"/>
        <w:sz w:val="14"/>
        <w:szCs w:val="18"/>
      </w:rPr>
      <w:t>18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0D74C5" w:rsidRDefault="000D74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D74C5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793D0AA1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D5A4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D5A40">
            <w:rPr>
              <w:rFonts w:ascii="Verdana" w:eastAsia="Verdana" w:hAnsi="Verdana"/>
              <w:noProof/>
              <w:color w:val="FF5200"/>
              <w:sz w:val="14"/>
            </w:rPr>
            <w:t>18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15CBA875" w:rsidR="000D74C5" w:rsidRPr="00385FE0" w:rsidRDefault="000D74C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www.spravazeleznic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6D102A5A" w14:textId="77777777" w:rsidR="000D74C5" w:rsidRDefault="000D74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3395D59D" w:rsidR="000D74C5" w:rsidRDefault="000D74C5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D5A40">
      <w:rPr>
        <w:rFonts w:ascii="Verdana" w:eastAsia="Verdana" w:hAnsi="Verdana"/>
        <w:b/>
        <w:noProof/>
        <w:color w:val="FF5200"/>
        <w:sz w:val="14"/>
        <w:szCs w:val="18"/>
      </w:rPr>
      <w:t>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D5A40">
      <w:rPr>
        <w:rFonts w:ascii="Verdana" w:eastAsia="Verdana" w:hAnsi="Verdana"/>
        <w:b/>
        <w:noProof/>
        <w:color w:val="FF5200"/>
        <w:sz w:val="14"/>
        <w:szCs w:val="18"/>
      </w:rPr>
      <w:t>8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0D74C5" w:rsidRDefault="000D74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5B4AC" w14:textId="77777777" w:rsidR="00737EE6" w:rsidRDefault="00737EE6" w:rsidP="003706CB">
      <w:pPr>
        <w:spacing w:after="0" w:line="240" w:lineRule="auto"/>
      </w:pPr>
      <w:r>
        <w:separator/>
      </w:r>
    </w:p>
  </w:footnote>
  <w:footnote w:type="continuationSeparator" w:id="0">
    <w:p w14:paraId="2C601926" w14:textId="77777777" w:rsidR="00737EE6" w:rsidRDefault="00737EE6" w:rsidP="003706CB">
      <w:pPr>
        <w:spacing w:after="0" w:line="240" w:lineRule="auto"/>
      </w:pPr>
      <w:r>
        <w:continuationSeparator/>
      </w:r>
    </w:p>
  </w:footnote>
  <w:footnote w:type="continuationNotice" w:id="1">
    <w:p w14:paraId="1F7B8D80" w14:textId="77777777" w:rsidR="00737EE6" w:rsidRDefault="00737E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18AC4942" w:rsidR="000D74C5" w:rsidRPr="00831A8D" w:rsidRDefault="000D74C5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1DC88CEC" w:rsidR="000D74C5" w:rsidRDefault="000D74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57D316B" wp14:editId="75A53B66">
          <wp:simplePos x="0" y="0"/>
          <wp:positionH relativeFrom="page">
            <wp:posOffset>314325</wp:posOffset>
          </wp:positionH>
          <wp:positionV relativeFrom="page">
            <wp:posOffset>168910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F85A564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9"/>
  </w:num>
  <w:num w:numId="3">
    <w:abstractNumId w:val="51"/>
  </w:num>
  <w:num w:numId="4">
    <w:abstractNumId w:val="40"/>
  </w:num>
  <w:num w:numId="5">
    <w:abstractNumId w:val="30"/>
  </w:num>
  <w:num w:numId="6">
    <w:abstractNumId w:val="37"/>
  </w:num>
  <w:num w:numId="7">
    <w:abstractNumId w:val="35"/>
  </w:num>
  <w:num w:numId="8">
    <w:abstractNumId w:val="36"/>
  </w:num>
  <w:num w:numId="9">
    <w:abstractNumId w:val="3"/>
  </w:num>
  <w:num w:numId="10">
    <w:abstractNumId w:val="42"/>
  </w:num>
  <w:num w:numId="11">
    <w:abstractNumId w:val="26"/>
  </w:num>
  <w:num w:numId="12">
    <w:abstractNumId w:val="29"/>
  </w:num>
  <w:num w:numId="13">
    <w:abstractNumId w:val="17"/>
  </w:num>
  <w:num w:numId="14">
    <w:abstractNumId w:val="37"/>
  </w:num>
  <w:num w:numId="15">
    <w:abstractNumId w:val="37"/>
  </w:num>
  <w:num w:numId="16">
    <w:abstractNumId w:val="47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5"/>
  </w:num>
  <w:num w:numId="28">
    <w:abstractNumId w:val="4"/>
  </w:num>
  <w:num w:numId="29">
    <w:abstractNumId w:val="10"/>
  </w:num>
  <w:num w:numId="30">
    <w:abstractNumId w:val="46"/>
  </w:num>
  <w:num w:numId="31">
    <w:abstractNumId w:val="38"/>
  </w:num>
  <w:num w:numId="32">
    <w:abstractNumId w:val="48"/>
  </w:num>
  <w:num w:numId="33">
    <w:abstractNumId w:val="43"/>
  </w:num>
  <w:num w:numId="34">
    <w:abstractNumId w:val="6"/>
  </w:num>
  <w:num w:numId="35">
    <w:abstractNumId w:val="20"/>
  </w:num>
  <w:num w:numId="36">
    <w:abstractNumId w:val="33"/>
  </w:num>
  <w:num w:numId="37">
    <w:abstractNumId w:val="37"/>
  </w:num>
  <w:num w:numId="38">
    <w:abstractNumId w:val="15"/>
  </w:num>
  <w:num w:numId="39">
    <w:abstractNumId w:val="13"/>
  </w:num>
  <w:num w:numId="40">
    <w:abstractNumId w:val="50"/>
  </w:num>
  <w:num w:numId="41">
    <w:abstractNumId w:val="12"/>
  </w:num>
  <w:num w:numId="42">
    <w:abstractNumId w:val="37"/>
  </w:num>
  <w:num w:numId="43">
    <w:abstractNumId w:val="5"/>
  </w:num>
  <w:num w:numId="44">
    <w:abstractNumId w:val="25"/>
  </w:num>
  <w:num w:numId="45">
    <w:abstractNumId w:val="37"/>
  </w:num>
  <w:num w:numId="46">
    <w:abstractNumId w:val="37"/>
  </w:num>
  <w:num w:numId="47">
    <w:abstractNumId w:val="37"/>
  </w:num>
  <w:num w:numId="48">
    <w:abstractNumId w:val="41"/>
  </w:num>
  <w:num w:numId="49">
    <w:abstractNumId w:val="1"/>
  </w:num>
  <w:num w:numId="50">
    <w:abstractNumId w:val="37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4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 w:numId="65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2C7"/>
    <w:rsid w:val="000206B8"/>
    <w:rsid w:val="00020FF6"/>
    <w:rsid w:val="0002123E"/>
    <w:rsid w:val="00022D53"/>
    <w:rsid w:val="00023BF2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D74C5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77E8C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04BA5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6DD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1A9C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3614"/>
    <w:rsid w:val="00694A38"/>
    <w:rsid w:val="0069787C"/>
    <w:rsid w:val="006A0D45"/>
    <w:rsid w:val="006B2DF3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37EE6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27C5C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E261A"/>
    <w:rsid w:val="009F13FC"/>
    <w:rsid w:val="00A00525"/>
    <w:rsid w:val="00A02B02"/>
    <w:rsid w:val="00A107ED"/>
    <w:rsid w:val="00A1363F"/>
    <w:rsid w:val="00A21B4B"/>
    <w:rsid w:val="00A23087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11CE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39FE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1BB7"/>
    <w:rsid w:val="00B14409"/>
    <w:rsid w:val="00B148AD"/>
    <w:rsid w:val="00B1744A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17FD"/>
    <w:rsid w:val="00B776A4"/>
    <w:rsid w:val="00B7773F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3D28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5D9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5A40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340C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6613C"/>
  <w15:docId w15:val="{F2643823-8606-4955-AD5E-6C897420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3BF2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kokanek@spravazeleznic.cz" TargetMode="External"/><Relationship Id="rId18" Type="http://schemas.openxmlformats.org/officeDocument/2006/relationships/footer" Target="footer2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Dedek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StejskalPa\AppData\Local\Temp\Temp1_163_sk&#225;ly.zip\163_Opravy%20a%20&#250;dr&#382;ba%20skaln&#237;ch%20z&#225;&#345;ez&#367;%20u%20ST%202021%20-%202022\Ke%20zve&#345;ejn&#283;n&#237;%20na%20E-ZAKu\Zad&#225;vac&#237;%20dokumentace\ePodatelnaCFUCechy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ypdok.tud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usak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80AB7-2700-49F4-9E2D-D805CD5E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4748</Words>
  <Characters>28015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Marešková Barbora, Ing.</cp:lastModifiedBy>
  <cp:revision>6</cp:revision>
  <cp:lastPrinted>2018-11-07T15:06:00Z</cp:lastPrinted>
  <dcterms:created xsi:type="dcterms:W3CDTF">2020-11-10T15:39:00Z</dcterms:created>
  <dcterms:modified xsi:type="dcterms:W3CDTF">2020-11-11T09:48:00Z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